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A332D" w14:textId="77777777" w:rsidR="00DF4CA2" w:rsidRPr="004C3363" w:rsidRDefault="00DF4CA2" w:rsidP="00DF4CA2">
      <w:pPr>
        <w:pStyle w:val="Subttulo"/>
        <w:spacing w:after="0"/>
        <w:ind w:firstLine="0"/>
        <w:jc w:val="center"/>
        <w:rPr>
          <w:sz w:val="22"/>
          <w:szCs w:val="22"/>
          <w:lang w:eastAsia="pt-BR"/>
        </w:rPr>
      </w:pPr>
      <w:bookmarkStart w:id="0" w:name="_Toc497473723"/>
    </w:p>
    <w:bookmarkEnd w:id="0"/>
    <w:p w14:paraId="56CD25CF" w14:textId="3EAEBE98" w:rsidR="00CB7CEF" w:rsidRPr="00C12B05" w:rsidRDefault="001F5E79" w:rsidP="00C12B05">
      <w:pPr>
        <w:spacing w:after="60"/>
        <w:ind w:left="3969" w:firstLine="0"/>
        <w:outlineLvl w:val="1"/>
        <w:rPr>
          <w:rFonts w:eastAsia="Times New Roman"/>
          <w:b/>
          <w:lang w:eastAsia="pt-BR"/>
        </w:rPr>
      </w:pPr>
      <w:r w:rsidRPr="00C12B05">
        <w:rPr>
          <w:rFonts w:eastAsia="Times New Roman"/>
          <w:b/>
          <w:lang w:eastAsia="pt-BR"/>
        </w:rPr>
        <w:t>NOTAS EXPLICATIVAS DO BALANÇO PATRIMONIAL</w:t>
      </w:r>
    </w:p>
    <w:p w14:paraId="17306578" w14:textId="3E315286" w:rsidR="00CB7CEF" w:rsidRPr="00C12B05" w:rsidRDefault="001F5E79" w:rsidP="00C12B05">
      <w:pPr>
        <w:spacing w:after="60"/>
        <w:ind w:left="3969" w:firstLine="0"/>
        <w:outlineLvl w:val="1"/>
        <w:rPr>
          <w:rFonts w:eastAsia="Times New Roman"/>
          <w:b/>
          <w:lang w:eastAsia="pt-BR"/>
        </w:rPr>
      </w:pPr>
      <w:r w:rsidRPr="00C12B05">
        <w:rPr>
          <w:rFonts w:eastAsia="Times New Roman"/>
          <w:b/>
          <w:lang w:eastAsia="pt-BR"/>
        </w:rPr>
        <w:t>EXERCÍCIO DE 202</w:t>
      </w:r>
      <w:r w:rsidR="00C12B05">
        <w:rPr>
          <w:rFonts w:eastAsia="Times New Roman"/>
          <w:b/>
          <w:lang w:eastAsia="pt-BR"/>
        </w:rPr>
        <w:t>5</w:t>
      </w:r>
      <w:r w:rsidRPr="00C12B05">
        <w:rPr>
          <w:rFonts w:eastAsia="Times New Roman"/>
          <w:b/>
          <w:lang w:eastAsia="pt-BR"/>
        </w:rPr>
        <w:t>.</w:t>
      </w:r>
    </w:p>
    <w:p w14:paraId="36B17C51" w14:textId="63A4331E" w:rsidR="00CB7CEF" w:rsidRPr="00C12B05" w:rsidRDefault="001F5E79" w:rsidP="00C12B05">
      <w:pPr>
        <w:spacing w:after="60"/>
        <w:ind w:left="3969" w:firstLine="0"/>
        <w:outlineLvl w:val="1"/>
        <w:rPr>
          <w:rFonts w:eastAsia="Times New Roman"/>
          <w:b/>
          <w:lang w:eastAsia="pt-BR"/>
        </w:rPr>
      </w:pPr>
      <w:r w:rsidRPr="00C12B05">
        <w:rPr>
          <w:rFonts w:eastAsia="Times New Roman"/>
          <w:b/>
          <w:lang w:eastAsia="pt-BR"/>
        </w:rPr>
        <w:t xml:space="preserve">UNIDADE GESTORA: </w:t>
      </w:r>
      <w:r w:rsidR="0097534B" w:rsidRPr="00C12B05">
        <w:rPr>
          <w:rFonts w:eastAsia="Times New Roman"/>
          <w:b/>
          <w:lang w:eastAsia="pt-BR"/>
        </w:rPr>
        <w:t>CONSOLIDADO</w:t>
      </w:r>
    </w:p>
    <w:p w14:paraId="1585AB96" w14:textId="77777777" w:rsidR="00DF4CA2" w:rsidRPr="004C3363" w:rsidRDefault="00DF4CA2" w:rsidP="00DF4CA2">
      <w:pPr>
        <w:spacing w:after="0"/>
        <w:ind w:firstLine="0"/>
        <w:jc w:val="center"/>
        <w:rPr>
          <w:b/>
          <w:sz w:val="22"/>
          <w:szCs w:val="22"/>
          <w:lang w:eastAsia="pt-BR"/>
        </w:rPr>
      </w:pPr>
    </w:p>
    <w:p w14:paraId="44144A45" w14:textId="77777777" w:rsidR="00DF4CA2" w:rsidRPr="004C3363" w:rsidRDefault="00DF4CA2" w:rsidP="00DF4CA2">
      <w:pPr>
        <w:spacing w:after="0"/>
        <w:rPr>
          <w:rFonts w:eastAsia="Times New Roman" w:cs="Arial"/>
          <w:b/>
          <w:bCs/>
          <w:sz w:val="22"/>
          <w:szCs w:val="22"/>
          <w:lang w:eastAsia="pt-BR"/>
        </w:rPr>
      </w:pPr>
    </w:p>
    <w:p w14:paraId="59721C6C" w14:textId="39DE4123" w:rsidR="00DF4CA2" w:rsidRPr="004C3363" w:rsidRDefault="00DF4CA2" w:rsidP="00DF4CA2">
      <w:pPr>
        <w:spacing w:after="0"/>
        <w:rPr>
          <w:rFonts w:eastAsia="Times New Roman" w:cs="Arial"/>
          <w:spacing w:val="7"/>
          <w:sz w:val="22"/>
          <w:szCs w:val="22"/>
          <w:lang w:eastAsia="pt-BR"/>
        </w:rPr>
      </w:pPr>
      <w:r w:rsidRPr="004C3363">
        <w:rPr>
          <w:rFonts w:eastAsia="Times New Roman" w:cs="Arial"/>
          <w:b/>
          <w:bCs/>
          <w:sz w:val="22"/>
          <w:szCs w:val="22"/>
          <w:lang w:eastAsia="pt-BR"/>
        </w:rPr>
        <w:t>Nota 1 – Contexto Operacional:</w:t>
      </w:r>
      <w:r w:rsidRPr="004C3363">
        <w:rPr>
          <w:rFonts w:eastAsia="Times New Roman" w:cs="Arial"/>
          <w:sz w:val="22"/>
          <w:szCs w:val="22"/>
          <w:lang w:eastAsia="pt-BR"/>
        </w:rPr>
        <w:t xml:space="preserve"> </w:t>
      </w:r>
      <w:r w:rsidR="0097534B">
        <w:rPr>
          <w:rFonts w:eastAsia="Times New Roman" w:cs="Arial"/>
          <w:sz w:val="22"/>
          <w:szCs w:val="22"/>
          <w:lang w:eastAsia="pt-BR"/>
        </w:rPr>
        <w:t>a Administração Direta d</w:t>
      </w:r>
      <w:r w:rsidRPr="004C3363">
        <w:rPr>
          <w:rFonts w:eastAsia="Times New Roman" w:cs="Arial"/>
          <w:sz w:val="22"/>
          <w:szCs w:val="22"/>
          <w:lang w:eastAsia="pt-BR"/>
        </w:rPr>
        <w:t>o</w:t>
      </w:r>
      <w:r w:rsidRPr="004C3363">
        <w:rPr>
          <w:rFonts w:eastAsia="Times New Roman" w:cs="Arial"/>
          <w:spacing w:val="7"/>
          <w:sz w:val="22"/>
          <w:szCs w:val="22"/>
          <w:lang w:eastAsia="pt-BR"/>
        </w:rPr>
        <w:t xml:space="preserve"> </w:t>
      </w:r>
      <w:r w:rsidR="0097534B">
        <w:rPr>
          <w:rFonts w:eastAsia="Times New Roman" w:cs="Arial"/>
          <w:spacing w:val="7"/>
          <w:sz w:val="22"/>
          <w:szCs w:val="22"/>
          <w:lang w:eastAsia="pt-BR"/>
        </w:rPr>
        <w:t xml:space="preserve">Município de Condor estado do Rio Grande do Sul, é composta pelos </w:t>
      </w:r>
      <w:r w:rsidRPr="004C3363">
        <w:rPr>
          <w:rFonts w:eastAsia="Times New Roman" w:cs="Arial"/>
          <w:spacing w:val="7"/>
          <w:sz w:val="22"/>
          <w:szCs w:val="22"/>
          <w:lang w:eastAsia="pt-BR"/>
        </w:rPr>
        <w:t>Poder</w:t>
      </w:r>
      <w:r w:rsidR="0097534B">
        <w:rPr>
          <w:rFonts w:eastAsia="Times New Roman" w:cs="Arial"/>
          <w:spacing w:val="7"/>
          <w:sz w:val="22"/>
          <w:szCs w:val="22"/>
          <w:lang w:eastAsia="pt-BR"/>
        </w:rPr>
        <w:t>es</w:t>
      </w:r>
      <w:r w:rsidRPr="004C3363">
        <w:rPr>
          <w:rFonts w:eastAsia="Times New Roman" w:cs="Arial"/>
          <w:spacing w:val="7"/>
          <w:sz w:val="22"/>
          <w:szCs w:val="22"/>
          <w:lang w:eastAsia="pt-BR"/>
        </w:rPr>
        <w:t xml:space="preserve"> </w:t>
      </w:r>
      <w:r w:rsidR="0097534B">
        <w:rPr>
          <w:rFonts w:eastAsia="Times New Roman" w:cs="Arial"/>
          <w:spacing w:val="7"/>
          <w:sz w:val="22"/>
          <w:szCs w:val="22"/>
          <w:lang w:eastAsia="pt-BR"/>
        </w:rPr>
        <w:t xml:space="preserve">Legislativo e </w:t>
      </w:r>
      <w:r w:rsidRPr="004C3363">
        <w:rPr>
          <w:rFonts w:eastAsia="Times New Roman" w:cs="Arial"/>
          <w:spacing w:val="7"/>
          <w:sz w:val="22"/>
          <w:szCs w:val="22"/>
          <w:lang w:eastAsia="pt-BR"/>
        </w:rPr>
        <w:t>Executivo, pessoa</w:t>
      </w:r>
      <w:r w:rsidR="0097534B">
        <w:rPr>
          <w:rFonts w:eastAsia="Times New Roman" w:cs="Arial"/>
          <w:spacing w:val="7"/>
          <w:sz w:val="22"/>
          <w:szCs w:val="22"/>
          <w:lang w:eastAsia="pt-BR"/>
        </w:rPr>
        <w:t>s</w:t>
      </w:r>
      <w:r w:rsidRPr="004C3363">
        <w:rPr>
          <w:rFonts w:eastAsia="Times New Roman" w:cs="Arial"/>
          <w:spacing w:val="7"/>
          <w:sz w:val="22"/>
          <w:szCs w:val="22"/>
          <w:lang w:eastAsia="pt-BR"/>
        </w:rPr>
        <w:t xml:space="preserve"> jurídica</w:t>
      </w:r>
      <w:r w:rsidR="0097534B">
        <w:rPr>
          <w:rFonts w:eastAsia="Times New Roman" w:cs="Arial"/>
          <w:spacing w:val="7"/>
          <w:sz w:val="22"/>
          <w:szCs w:val="22"/>
          <w:lang w:eastAsia="pt-BR"/>
        </w:rPr>
        <w:t>s</w:t>
      </w:r>
      <w:r w:rsidRPr="004C3363">
        <w:rPr>
          <w:rFonts w:eastAsia="Times New Roman" w:cs="Arial"/>
          <w:spacing w:val="7"/>
          <w:sz w:val="22"/>
          <w:szCs w:val="22"/>
          <w:lang w:eastAsia="pt-BR"/>
        </w:rPr>
        <w:t xml:space="preserve"> de direito público,</w:t>
      </w:r>
      <w:r w:rsidR="0097534B">
        <w:rPr>
          <w:rFonts w:eastAsia="Times New Roman" w:cs="Arial"/>
          <w:spacing w:val="7"/>
          <w:sz w:val="22"/>
          <w:szCs w:val="22"/>
          <w:lang w:eastAsia="pt-BR"/>
        </w:rPr>
        <w:t xml:space="preserve"> </w:t>
      </w:r>
      <w:r w:rsidRPr="004C3363">
        <w:rPr>
          <w:rFonts w:eastAsia="Times New Roman" w:cs="Arial"/>
          <w:spacing w:val="7"/>
          <w:sz w:val="22"/>
          <w:szCs w:val="22"/>
          <w:lang w:eastAsia="pt-BR"/>
        </w:rPr>
        <w:t>pelos órgãos sem personalidade jurídica de Secretarias Municipais e Fundos Especiais, não possuindo Autarquias, fundações públicas, sociedades de economia mista e empresas públicas.</w:t>
      </w:r>
    </w:p>
    <w:p w14:paraId="09B92F88" w14:textId="77777777" w:rsidR="00DF4CA2" w:rsidRPr="004C3363" w:rsidRDefault="00DF4CA2" w:rsidP="00DF4CA2">
      <w:pPr>
        <w:keepNext/>
        <w:widowControl w:val="0"/>
        <w:tabs>
          <w:tab w:val="left" w:pos="720"/>
        </w:tabs>
        <w:suppressAutoHyphens/>
        <w:spacing w:after="0"/>
        <w:outlineLvl w:val="0"/>
        <w:rPr>
          <w:rFonts w:eastAsia="Times New Roman"/>
          <w:b/>
          <w:bCs/>
          <w:sz w:val="22"/>
          <w:szCs w:val="22"/>
          <w:lang w:eastAsia="pt-BR"/>
        </w:rPr>
      </w:pPr>
    </w:p>
    <w:p w14:paraId="20613526" w14:textId="77777777" w:rsidR="00DF4CA2" w:rsidRPr="004C3363" w:rsidRDefault="00DF4CA2" w:rsidP="00DF4CA2">
      <w:pPr>
        <w:spacing w:after="0"/>
        <w:rPr>
          <w:sz w:val="22"/>
          <w:szCs w:val="22"/>
          <w:lang w:eastAsia="pt-BR"/>
        </w:rPr>
      </w:pPr>
      <w:r w:rsidRPr="004C3363">
        <w:rPr>
          <w:b/>
          <w:bCs/>
          <w:sz w:val="22"/>
          <w:szCs w:val="22"/>
          <w:lang w:eastAsia="pt-BR"/>
        </w:rPr>
        <w:t>Nota 2 – Apresentação das Demonstrações Contábeis:</w:t>
      </w:r>
      <w:r w:rsidRPr="004C3363">
        <w:rPr>
          <w:sz w:val="22"/>
          <w:szCs w:val="22"/>
          <w:lang w:eastAsia="pt-BR"/>
        </w:rPr>
        <w:t xml:space="preserve"> foram elaboradas em observância com os dispositivos legais que regulam o assunto, em especial a Lei nº 4.320/64, a Lei Complementar nº 101/2000, os Princípios de Contabilidade, as Normas Brasileiras de Contabilidade Aplicadas ao Setor Público, o Manual de Contabilidade Aplicada ao Setor Público e demais disposições normativas vigentes.</w:t>
      </w:r>
    </w:p>
    <w:p w14:paraId="4C40A3E2" w14:textId="77777777" w:rsidR="00DF4CA2" w:rsidRPr="004C3363" w:rsidRDefault="00DF4CA2" w:rsidP="00DF4CA2">
      <w:pPr>
        <w:spacing w:after="0"/>
        <w:rPr>
          <w:rFonts w:eastAsia="Times New Roman" w:cs="Arial"/>
          <w:b/>
          <w:bCs/>
          <w:sz w:val="22"/>
          <w:szCs w:val="22"/>
          <w:lang w:eastAsia="pt-BR"/>
        </w:rPr>
      </w:pPr>
    </w:p>
    <w:p w14:paraId="1E4506E8" w14:textId="164A5423" w:rsidR="00DF4CA2" w:rsidRDefault="00C12B05" w:rsidP="00DF4CA2">
      <w:pPr>
        <w:spacing w:after="0"/>
        <w:rPr>
          <w:rFonts w:eastAsia="Times New Roman" w:cs="Arial"/>
          <w:lang w:eastAsia="pt-BR"/>
        </w:rPr>
      </w:pPr>
      <w:r w:rsidRPr="00067F14">
        <w:rPr>
          <w:rFonts w:eastAsia="Times New Roman" w:cs="Arial"/>
          <w:b/>
          <w:bCs/>
          <w:sz w:val="22"/>
          <w:szCs w:val="22"/>
          <w:lang w:eastAsia="pt-BR"/>
        </w:rPr>
        <w:t xml:space="preserve">Nota 3 – Caixa e Equivalente de Caixa: </w:t>
      </w:r>
      <w:r w:rsidRPr="00067F14">
        <w:rPr>
          <w:rFonts w:eastAsia="Times New Roman" w:cs="Arial"/>
          <w:sz w:val="22"/>
          <w:szCs w:val="22"/>
          <w:lang w:eastAsia="pt-BR"/>
        </w:rPr>
        <w:t xml:space="preserve">compreende o somatório dos valores em caixa e em bancos, bem como equivalentes, que representam recursos com livre movimentação para aplicação nas operações da entidade e para os quais não haja restrições para uso imediato. Em 2025, o Caixa e Equivalentes de Caixa totalizou R$ </w:t>
      </w:r>
      <w:r>
        <w:rPr>
          <w:rFonts w:eastAsia="Times New Roman" w:cs="Arial"/>
          <w:sz w:val="22"/>
          <w:szCs w:val="22"/>
          <w:lang w:eastAsia="pt-BR"/>
        </w:rPr>
        <w:t>11.503.282,11</w:t>
      </w:r>
      <w:r w:rsidRPr="00067F14">
        <w:rPr>
          <w:rFonts w:eastAsia="Times New Roman" w:cs="Arial"/>
          <w:sz w:val="22"/>
          <w:szCs w:val="22"/>
          <w:lang w:eastAsia="pt-BR"/>
        </w:rPr>
        <w:t>. Na comparação com o exercício anterior verifica-se um acréscimo de 165,</w:t>
      </w:r>
      <w:r>
        <w:rPr>
          <w:rFonts w:eastAsia="Times New Roman" w:cs="Arial"/>
          <w:sz w:val="22"/>
          <w:szCs w:val="22"/>
          <w:lang w:eastAsia="pt-BR"/>
        </w:rPr>
        <w:t>35</w:t>
      </w:r>
      <w:r w:rsidRPr="00067F14">
        <w:rPr>
          <w:rFonts w:eastAsia="Times New Roman" w:cs="Arial"/>
          <w:sz w:val="22"/>
          <w:szCs w:val="22"/>
          <w:lang w:eastAsia="pt-BR"/>
        </w:rPr>
        <w:t xml:space="preserve">%, e a </w:t>
      </w:r>
      <w:r w:rsidRPr="00067F14">
        <w:rPr>
          <w:rFonts w:eastAsia="Times New Roman" w:cs="Arial"/>
          <w:lang w:eastAsia="pt-BR"/>
        </w:rPr>
        <w:t>variação observada decorre de revisão no entendimento quanto à classificação contábil dos recursos dos RPPS destinados à cobertura de despesas imediatas, os quais anteriormente estavam registrados na conta de Investimentos – Aplicações Temporárias a Curto Prazo e passaram a ser classificados como Caixa e Equivalentes de Caixa, em razão de sua elevada liquidez e utilização para pagamentos de forma imediata</w:t>
      </w:r>
      <w:r>
        <w:rPr>
          <w:rFonts w:eastAsia="Times New Roman" w:cs="Arial"/>
          <w:lang w:eastAsia="pt-BR"/>
        </w:rPr>
        <w:t>.</w:t>
      </w:r>
    </w:p>
    <w:p w14:paraId="07771578" w14:textId="77777777" w:rsidR="00C12B05" w:rsidRPr="004C3363" w:rsidRDefault="00C12B05" w:rsidP="00DF4CA2">
      <w:pPr>
        <w:spacing w:after="0"/>
        <w:rPr>
          <w:rFonts w:eastAsia="Times New Roman" w:cs="Arial"/>
          <w:b/>
          <w:bCs/>
          <w:sz w:val="22"/>
          <w:szCs w:val="22"/>
          <w:lang w:eastAsia="pt-BR"/>
        </w:rPr>
      </w:pPr>
    </w:p>
    <w:p w14:paraId="50B5465D" w14:textId="1FA615DB" w:rsidR="009635C8" w:rsidRPr="00601B74" w:rsidRDefault="009635C8" w:rsidP="009635C8">
      <w:pPr>
        <w:spacing w:after="0"/>
        <w:rPr>
          <w:rFonts w:eastAsia="Times New Roman" w:cs="Calibri"/>
          <w:color w:val="FF0000"/>
          <w:sz w:val="22"/>
          <w:szCs w:val="22"/>
          <w:lang w:eastAsia="pt-BR"/>
        </w:rPr>
      </w:pPr>
      <w:r w:rsidRPr="004C3363">
        <w:rPr>
          <w:rFonts w:eastAsia="Times New Roman" w:cs="Calibri"/>
          <w:b/>
          <w:bCs/>
          <w:sz w:val="22"/>
          <w:szCs w:val="22"/>
          <w:lang w:eastAsia="pt-BR"/>
        </w:rPr>
        <w:t xml:space="preserve">Nota 4 – Créditos a Receber a Curto Prazo e a Longo Prazos: </w:t>
      </w:r>
      <w:r w:rsidRPr="004C3363">
        <w:rPr>
          <w:rFonts w:eastAsia="Times New Roman" w:cs="Calibri"/>
          <w:sz w:val="22"/>
          <w:szCs w:val="22"/>
          <w:lang w:eastAsia="pt-BR"/>
        </w:rPr>
        <w:t xml:space="preserve">os valores apresentados nestas rubricas compreendem os saldos líquidos a receber, ou seja, já deduzidos os ajustes para perdas, por </w:t>
      </w:r>
      <w:r w:rsidR="004C3363">
        <w:rPr>
          <w:rFonts w:eastAsia="Times New Roman" w:cs="Calibri"/>
          <w:sz w:val="22"/>
          <w:szCs w:val="22"/>
          <w:lang w:eastAsia="pt-BR"/>
        </w:rPr>
        <w:t>c</w:t>
      </w:r>
      <w:r w:rsidRPr="004C3363">
        <w:rPr>
          <w:rFonts w:eastAsia="Times New Roman" w:cs="Calibri"/>
          <w:sz w:val="22"/>
          <w:szCs w:val="22"/>
          <w:lang w:eastAsia="pt-BR"/>
        </w:rPr>
        <w:t>réditos tributários,</w:t>
      </w:r>
      <w:r w:rsidR="004C3363">
        <w:rPr>
          <w:rFonts w:eastAsia="Times New Roman" w:cs="Calibri"/>
          <w:sz w:val="22"/>
          <w:szCs w:val="22"/>
          <w:lang w:eastAsia="pt-BR"/>
        </w:rPr>
        <w:t xml:space="preserve"> </w:t>
      </w:r>
      <w:r w:rsidRPr="004C3363">
        <w:rPr>
          <w:rFonts w:eastAsia="Times New Roman" w:cs="Calibri"/>
          <w:sz w:val="22"/>
          <w:szCs w:val="22"/>
          <w:lang w:eastAsia="pt-BR"/>
        </w:rPr>
        <w:t>dívida ativa de curto prazo, transferências voluntárias</w:t>
      </w:r>
      <w:r w:rsidR="004C3363">
        <w:rPr>
          <w:rFonts w:eastAsia="Times New Roman" w:cs="Calibri"/>
          <w:sz w:val="22"/>
          <w:szCs w:val="22"/>
          <w:lang w:eastAsia="pt-BR"/>
        </w:rPr>
        <w:t xml:space="preserve"> </w:t>
      </w:r>
      <w:r w:rsidRPr="004C3363">
        <w:rPr>
          <w:rFonts w:eastAsia="Times New Roman" w:cs="Calibri"/>
          <w:sz w:val="22"/>
          <w:szCs w:val="22"/>
          <w:lang w:eastAsia="pt-BR"/>
        </w:rPr>
        <w:t>do Estado,</w:t>
      </w:r>
      <w:r w:rsidR="004C3363">
        <w:rPr>
          <w:rFonts w:eastAsia="Times New Roman" w:cs="Calibri"/>
          <w:sz w:val="22"/>
          <w:szCs w:val="22"/>
          <w:lang w:eastAsia="pt-BR"/>
        </w:rPr>
        <w:t xml:space="preserve"> </w:t>
      </w:r>
      <w:r w:rsidRPr="004C3363">
        <w:rPr>
          <w:rFonts w:eastAsia="Times New Roman" w:cs="Calibri"/>
          <w:sz w:val="22"/>
          <w:szCs w:val="22"/>
          <w:lang w:eastAsia="pt-BR"/>
        </w:rPr>
        <w:t>empréstimos e finan</w:t>
      </w:r>
      <w:r w:rsidRPr="00601B74">
        <w:rPr>
          <w:rFonts w:eastAsia="Times New Roman" w:cs="Calibri"/>
          <w:color w:val="000000" w:themeColor="text1"/>
          <w:sz w:val="22"/>
          <w:szCs w:val="22"/>
          <w:lang w:eastAsia="pt-BR"/>
        </w:rPr>
        <w:t>ciamentos concedidos</w:t>
      </w:r>
      <w:r w:rsidR="004C3363" w:rsidRPr="00601B74">
        <w:rPr>
          <w:rFonts w:eastAsia="Times New Roman" w:cs="Calibri"/>
          <w:color w:val="000000" w:themeColor="text1"/>
          <w:sz w:val="22"/>
          <w:szCs w:val="22"/>
          <w:lang w:eastAsia="pt-BR"/>
        </w:rPr>
        <w:t xml:space="preserve"> </w:t>
      </w:r>
      <w:r w:rsidRPr="00601B74">
        <w:rPr>
          <w:rFonts w:eastAsia="Times New Roman" w:cs="Calibri"/>
          <w:color w:val="000000" w:themeColor="text1"/>
          <w:sz w:val="22"/>
          <w:szCs w:val="22"/>
          <w:lang w:eastAsia="pt-BR"/>
        </w:rPr>
        <w:t xml:space="preserve">e demais créditos. Os valores realizáveis em até 12 meses foram classificados no ativo circulante e representam </w:t>
      </w:r>
      <w:r w:rsidR="00601B74" w:rsidRPr="00601B74">
        <w:rPr>
          <w:rFonts w:eastAsia="Times New Roman" w:cs="Calibri"/>
          <w:color w:val="000000" w:themeColor="text1"/>
          <w:sz w:val="22"/>
          <w:szCs w:val="22"/>
          <w:lang w:eastAsia="pt-BR"/>
        </w:rPr>
        <w:t>5,</w:t>
      </w:r>
      <w:r w:rsidR="00C12B05">
        <w:rPr>
          <w:rFonts w:eastAsia="Times New Roman" w:cs="Calibri"/>
          <w:color w:val="000000" w:themeColor="text1"/>
          <w:sz w:val="22"/>
          <w:szCs w:val="22"/>
          <w:lang w:eastAsia="pt-BR"/>
        </w:rPr>
        <w:t>66</w:t>
      </w:r>
      <w:r w:rsidRPr="00601B74">
        <w:rPr>
          <w:rFonts w:eastAsia="Times New Roman" w:cs="Calibri"/>
          <w:color w:val="000000" w:themeColor="text1"/>
          <w:sz w:val="22"/>
          <w:szCs w:val="22"/>
          <w:lang w:eastAsia="pt-BR"/>
        </w:rPr>
        <w:t xml:space="preserve">% do total de créditos. O restante, correspondente a </w:t>
      </w:r>
      <w:r w:rsidR="00601B74" w:rsidRPr="00601B74">
        <w:rPr>
          <w:rFonts w:eastAsia="Times New Roman" w:cs="Calibri"/>
          <w:color w:val="000000" w:themeColor="text1"/>
          <w:sz w:val="22"/>
          <w:szCs w:val="22"/>
          <w:lang w:eastAsia="pt-BR"/>
        </w:rPr>
        <w:t>94,</w:t>
      </w:r>
      <w:r w:rsidR="00C12B05">
        <w:rPr>
          <w:rFonts w:eastAsia="Times New Roman" w:cs="Calibri"/>
          <w:color w:val="000000" w:themeColor="text1"/>
          <w:sz w:val="22"/>
          <w:szCs w:val="22"/>
          <w:lang w:eastAsia="pt-BR"/>
        </w:rPr>
        <w:t>34</w:t>
      </w:r>
      <w:r w:rsidRPr="00601B74">
        <w:rPr>
          <w:rFonts w:eastAsia="Times New Roman" w:cs="Calibri"/>
          <w:color w:val="000000" w:themeColor="text1"/>
          <w:sz w:val="22"/>
          <w:szCs w:val="22"/>
          <w:lang w:eastAsia="pt-BR"/>
        </w:rPr>
        <w:t xml:space="preserve">% do total, que representa os valores realizáveis após 12 meses da data da publicação das demonstrações contábeis, foi classificado no ativo não circulante.  Especificamente em relação à </w:t>
      </w:r>
      <w:r w:rsidRPr="00601B74">
        <w:rPr>
          <w:rFonts w:eastAsia="Times New Roman" w:cs="Calibri"/>
          <w:b/>
          <w:bCs/>
          <w:color w:val="000000" w:themeColor="text1"/>
          <w:sz w:val="22"/>
          <w:szCs w:val="22"/>
          <w:lang w:eastAsia="pt-BR"/>
        </w:rPr>
        <w:t>dívida ativa</w:t>
      </w:r>
      <w:r w:rsidRPr="00601B74">
        <w:rPr>
          <w:rFonts w:eastAsia="Times New Roman" w:cs="Calibri"/>
          <w:color w:val="000000" w:themeColor="text1"/>
          <w:sz w:val="22"/>
          <w:szCs w:val="22"/>
          <w:lang w:eastAsia="pt-BR"/>
        </w:rPr>
        <w:t xml:space="preserve">, os valores a curto prazo, foram estimados pela </w:t>
      </w:r>
      <w:r w:rsidR="00257E12">
        <w:rPr>
          <w:rFonts w:eastAsia="Times New Roman" w:cs="Calibri"/>
          <w:color w:val="000000" w:themeColor="text1"/>
          <w:sz w:val="22"/>
          <w:szCs w:val="22"/>
          <w:lang w:eastAsia="pt-BR"/>
        </w:rPr>
        <w:t xml:space="preserve">arrecadação </w:t>
      </w:r>
      <w:r w:rsidRPr="00601B74">
        <w:rPr>
          <w:rFonts w:eastAsia="Times New Roman" w:cs="Calibri"/>
          <w:color w:val="000000" w:themeColor="text1"/>
          <w:sz w:val="22"/>
          <w:szCs w:val="22"/>
          <w:lang w:eastAsia="pt-BR"/>
        </w:rPr>
        <w:t>anual e o longo prazo abriga o restante do estoque de créditos inscritos em dívida ativa.</w:t>
      </w:r>
      <w:r w:rsidRPr="00601B74">
        <w:rPr>
          <w:rFonts w:eastAsia="Times New Roman" w:cs="Calibri"/>
          <w:color w:val="FF0000"/>
          <w:sz w:val="22"/>
          <w:szCs w:val="22"/>
          <w:lang w:eastAsia="pt-BR"/>
        </w:rPr>
        <w:t xml:space="preserve"> </w:t>
      </w:r>
    </w:p>
    <w:p w14:paraId="3CE81BAC" w14:textId="77777777" w:rsidR="00DF4CA2" w:rsidRPr="00601B74" w:rsidRDefault="00DF4CA2" w:rsidP="00DF4CA2">
      <w:pPr>
        <w:spacing w:after="0"/>
        <w:rPr>
          <w:rFonts w:eastAsia="Times New Roman" w:cs="Arial"/>
          <w:color w:val="FF0000"/>
          <w:sz w:val="22"/>
          <w:szCs w:val="22"/>
          <w:lang w:eastAsia="pt-BR"/>
        </w:rPr>
      </w:pPr>
    </w:p>
    <w:p w14:paraId="06017C4B" w14:textId="1BB5F065" w:rsidR="00DF4CA2" w:rsidRPr="007B5666" w:rsidRDefault="00DF4CA2" w:rsidP="00DF4CA2">
      <w:pPr>
        <w:spacing w:after="0"/>
        <w:rPr>
          <w:rFonts w:eastAsia="Times New Roman" w:cs="Arial"/>
          <w:color w:val="000000" w:themeColor="text1"/>
          <w:sz w:val="22"/>
          <w:szCs w:val="22"/>
          <w:lang w:eastAsia="pt-BR"/>
        </w:rPr>
      </w:pPr>
      <w:r w:rsidRPr="007B5666">
        <w:rPr>
          <w:rFonts w:eastAsia="Times New Roman" w:cs="Arial"/>
          <w:b/>
          <w:bCs/>
          <w:color w:val="000000" w:themeColor="text1"/>
          <w:sz w:val="22"/>
          <w:szCs w:val="22"/>
          <w:lang w:eastAsia="pt-BR"/>
        </w:rPr>
        <w:t xml:space="preserve">Nota 5 – Investimentos e Aplicações Temporárias a Curto Prazo: </w:t>
      </w:r>
      <w:r w:rsidRPr="007B5666">
        <w:rPr>
          <w:rFonts w:eastAsia="Times New Roman" w:cs="Arial"/>
          <w:color w:val="000000" w:themeColor="text1"/>
          <w:sz w:val="22"/>
          <w:szCs w:val="22"/>
          <w:lang w:eastAsia="pt-BR"/>
        </w:rPr>
        <w:t xml:space="preserve">os saldos apresentados no corpo da demonstração se referem aos valores líquidos, já descontadas as perdas, bem como as aplicações das disponibilidades do Regime Próprio de Previdência Social (RPPS). </w:t>
      </w:r>
    </w:p>
    <w:p w14:paraId="48DD20BF" w14:textId="77777777" w:rsidR="00DF4CA2" w:rsidRPr="007B5666" w:rsidRDefault="00DF4CA2" w:rsidP="00DF4CA2">
      <w:pPr>
        <w:spacing w:after="0"/>
        <w:rPr>
          <w:rFonts w:eastAsia="Times New Roman" w:cs="Arial"/>
          <w:color w:val="000000" w:themeColor="text1"/>
          <w:sz w:val="22"/>
          <w:szCs w:val="22"/>
          <w:lang w:eastAsia="pt-BR"/>
        </w:rPr>
      </w:pPr>
    </w:p>
    <w:p w14:paraId="095FCBB9" w14:textId="4BEE8F68" w:rsidR="00DF4CA2" w:rsidRPr="007B5666" w:rsidRDefault="00C12B05" w:rsidP="00DF4CA2">
      <w:pPr>
        <w:spacing w:after="0"/>
        <w:rPr>
          <w:rFonts w:eastAsia="Times New Roman" w:cs="Arial"/>
          <w:b/>
          <w:bCs/>
          <w:color w:val="000000" w:themeColor="text1"/>
          <w:sz w:val="22"/>
          <w:szCs w:val="22"/>
          <w:lang w:eastAsia="pt-BR"/>
        </w:rPr>
      </w:pPr>
      <w:r w:rsidRPr="00720D37">
        <w:rPr>
          <w:rFonts w:eastAsia="Times New Roman" w:cs="Arial"/>
          <w:b/>
          <w:bCs/>
          <w:sz w:val="22"/>
          <w:szCs w:val="22"/>
          <w:lang w:eastAsia="pt-BR"/>
        </w:rPr>
        <w:t xml:space="preserve">Nota 6 – Estoques: </w:t>
      </w:r>
      <w:r w:rsidRPr="00720D37">
        <w:rPr>
          <w:rFonts w:eastAsia="Times New Roman" w:cs="Arial"/>
          <w:sz w:val="22"/>
          <w:szCs w:val="22"/>
          <w:lang w:eastAsia="pt-BR"/>
        </w:rPr>
        <w:t>compreende o valor dos bens adquiridos, produzidos ou em processo de elaboração, com o objetivo de venda ou utilização própria no curso normal das atividades. Em 2025, o Estoque apresentou um saldo final de R$ 282.484,59, sofrendo um acréscimo de 90,67% em relação ao ano de 2024.</w:t>
      </w:r>
    </w:p>
    <w:p w14:paraId="3B172072" w14:textId="458F1D39" w:rsidR="00DF4CA2" w:rsidRPr="007B5666" w:rsidRDefault="00DF4CA2" w:rsidP="00DF4CA2">
      <w:pPr>
        <w:spacing w:after="0"/>
        <w:rPr>
          <w:rFonts w:eastAsia="Times New Roman" w:cs="Arial"/>
          <w:color w:val="000000" w:themeColor="text1"/>
          <w:sz w:val="22"/>
          <w:szCs w:val="22"/>
          <w:lang w:eastAsia="pt-BR"/>
        </w:rPr>
      </w:pPr>
      <w:r w:rsidRPr="007B5666">
        <w:rPr>
          <w:rFonts w:eastAsia="Times New Roman" w:cs="Arial"/>
          <w:b/>
          <w:bCs/>
          <w:color w:val="000000" w:themeColor="text1"/>
          <w:sz w:val="22"/>
          <w:szCs w:val="22"/>
          <w:lang w:eastAsia="pt-BR"/>
        </w:rPr>
        <w:lastRenderedPageBreak/>
        <w:t xml:space="preserve">Nota 7 – VPD Pagas Antecipadamente: </w:t>
      </w:r>
      <w:r w:rsidRPr="007B5666">
        <w:rPr>
          <w:rFonts w:eastAsia="Times New Roman" w:cs="Arial"/>
          <w:color w:val="000000" w:themeColor="text1"/>
          <w:sz w:val="22"/>
          <w:szCs w:val="22"/>
          <w:lang w:eastAsia="pt-BR"/>
        </w:rPr>
        <w:t>os saldos apresentados são relativos aos pagamentos de variações patrimoniais diminutivas (VPD) antecipadas, cujos benefícios ou prestação de serviço à entidade ocorrerão no curto prazo. Em 202</w:t>
      </w:r>
      <w:r w:rsidR="00C12B05">
        <w:rPr>
          <w:rFonts w:eastAsia="Times New Roman" w:cs="Arial"/>
          <w:color w:val="000000" w:themeColor="text1"/>
          <w:sz w:val="22"/>
          <w:szCs w:val="22"/>
          <w:lang w:eastAsia="pt-BR"/>
        </w:rPr>
        <w:t>5</w:t>
      </w:r>
      <w:r w:rsidRPr="007B5666">
        <w:rPr>
          <w:rFonts w:eastAsia="Times New Roman" w:cs="Arial"/>
          <w:color w:val="000000" w:themeColor="text1"/>
          <w:sz w:val="22"/>
          <w:szCs w:val="22"/>
          <w:lang w:eastAsia="pt-BR"/>
        </w:rPr>
        <w:t xml:space="preserve"> essa rubrica não apresentou saldo.</w:t>
      </w:r>
    </w:p>
    <w:p w14:paraId="01447DA6" w14:textId="77777777" w:rsidR="00DF4CA2" w:rsidRPr="007B5666" w:rsidRDefault="00DF4CA2" w:rsidP="00DF4CA2">
      <w:pPr>
        <w:spacing w:after="0"/>
        <w:rPr>
          <w:rFonts w:eastAsia="Times New Roman" w:cs="Arial"/>
          <w:b/>
          <w:bCs/>
          <w:color w:val="000000" w:themeColor="text1"/>
          <w:sz w:val="22"/>
          <w:szCs w:val="22"/>
          <w:lang w:eastAsia="pt-BR"/>
        </w:rPr>
      </w:pPr>
    </w:p>
    <w:p w14:paraId="3B9500AD" w14:textId="285E91F4" w:rsidR="00DF4CA2" w:rsidRPr="007B5666" w:rsidRDefault="00C12B05" w:rsidP="00DF4CA2">
      <w:pPr>
        <w:spacing w:after="0"/>
        <w:rPr>
          <w:rFonts w:eastAsia="Times New Roman" w:cs="Arial"/>
          <w:b/>
          <w:bCs/>
          <w:color w:val="000000" w:themeColor="text1"/>
          <w:sz w:val="22"/>
          <w:szCs w:val="22"/>
          <w:lang w:eastAsia="pt-BR"/>
        </w:rPr>
      </w:pPr>
      <w:r w:rsidRPr="00720D37">
        <w:rPr>
          <w:rFonts w:eastAsia="Times New Roman" w:cs="Arial"/>
          <w:b/>
          <w:bCs/>
          <w:sz w:val="22"/>
          <w:szCs w:val="22"/>
          <w:lang w:eastAsia="pt-BR"/>
        </w:rPr>
        <w:t xml:space="preserve">Nota 8 – Investimentos: </w:t>
      </w:r>
      <w:r w:rsidRPr="00720D37">
        <w:rPr>
          <w:rFonts w:eastAsia="Times New Roman" w:cs="Arial"/>
          <w:sz w:val="22"/>
          <w:szCs w:val="22"/>
          <w:lang w:eastAsia="pt-BR"/>
        </w:rPr>
        <w:t xml:space="preserve">os Investimentos compreendem as participações permanentes em outras sociedades, bem como os bens e direitos não classificáveis no Ativo Circulante, nem no Ativo Não Circulante e que não se destinem à manutenção da atividade da entidade.  Os valores classificados nesse título apresentaram uma variação positiva da ordem de R$ 52.768,60, decorrente, em grande parte, da avaliação das </w:t>
      </w:r>
      <w:r w:rsidRPr="00720D37">
        <w:rPr>
          <w:rFonts w:eastAsia="Times New Roman" w:cs="Arial"/>
          <w:b/>
          <w:bCs/>
          <w:sz w:val="22"/>
          <w:szCs w:val="22"/>
          <w:lang w:eastAsia="pt-BR"/>
        </w:rPr>
        <w:t>participações em Consórcios Públicos.</w:t>
      </w:r>
      <w:r w:rsidR="00DF4CA2" w:rsidRPr="007B5666">
        <w:rPr>
          <w:rFonts w:eastAsia="Times New Roman" w:cs="Arial"/>
          <w:b/>
          <w:bCs/>
          <w:color w:val="000000" w:themeColor="text1"/>
          <w:sz w:val="22"/>
          <w:szCs w:val="22"/>
          <w:lang w:eastAsia="pt-BR"/>
        </w:rPr>
        <w:t xml:space="preserve"> </w:t>
      </w:r>
    </w:p>
    <w:p w14:paraId="5E47CF9A" w14:textId="77777777" w:rsidR="00DF4CA2" w:rsidRPr="00601B74" w:rsidRDefault="00DF4CA2" w:rsidP="00DF4CA2">
      <w:pPr>
        <w:spacing w:after="0"/>
        <w:rPr>
          <w:rFonts w:eastAsia="Times New Roman"/>
          <w:color w:val="FF0000"/>
          <w:sz w:val="22"/>
          <w:szCs w:val="22"/>
          <w:lang w:eastAsia="pt-BR"/>
        </w:rPr>
      </w:pPr>
    </w:p>
    <w:p w14:paraId="03F43BB0" w14:textId="77777777" w:rsidR="00DF4CA2" w:rsidRPr="00FF1998" w:rsidRDefault="00DF4CA2" w:rsidP="00DF4CA2">
      <w:pPr>
        <w:spacing w:after="0"/>
        <w:rPr>
          <w:rFonts w:eastAsia="Times New Roman"/>
          <w:sz w:val="22"/>
          <w:szCs w:val="22"/>
          <w:lang w:eastAsia="pt-BR"/>
        </w:rPr>
      </w:pPr>
      <w:r w:rsidRPr="00FF1998">
        <w:rPr>
          <w:rFonts w:eastAsia="Times New Roman" w:cs="Arial"/>
          <w:b/>
          <w:bCs/>
          <w:sz w:val="22"/>
          <w:szCs w:val="22"/>
          <w:lang w:eastAsia="pt-BR"/>
        </w:rPr>
        <w:t xml:space="preserve">Nota 9 – Imobilizado – Bens Móveis: </w:t>
      </w:r>
      <w:r w:rsidRPr="00FF1998">
        <w:rPr>
          <w:rFonts w:eastAsia="Times New Roman" w:cs="Arial"/>
          <w:sz w:val="22"/>
          <w:szCs w:val="22"/>
          <w:lang w:eastAsia="pt-BR"/>
        </w:rPr>
        <w:t xml:space="preserve">os saldos apresentados correspondem aos valores líquidos (já descontada a depreciação e ajuste a valor recuperável) constantes no levantamento geral realizado pelo setor de controle patrimonial. </w:t>
      </w:r>
      <w:r w:rsidRPr="00FF1998">
        <w:rPr>
          <w:rFonts w:eastAsia="Times New Roman"/>
          <w:sz w:val="22"/>
          <w:szCs w:val="22"/>
          <w:lang w:eastAsia="pt-BR"/>
        </w:rPr>
        <w:t>A tabela a seguir demonstra a composição dos bens móveis:</w:t>
      </w:r>
    </w:p>
    <w:p w14:paraId="4BA28243" w14:textId="77777777" w:rsidR="00DF4CA2" w:rsidRDefault="00DF4CA2" w:rsidP="00DF4CA2">
      <w:pPr>
        <w:spacing w:after="0"/>
        <w:rPr>
          <w:rFonts w:eastAsia="Times New Roman"/>
          <w:sz w:val="22"/>
          <w:szCs w:val="22"/>
          <w:lang w:eastAsia="pt-BR"/>
        </w:rPr>
      </w:pPr>
    </w:p>
    <w:tbl>
      <w:tblPr>
        <w:tblW w:w="9002" w:type="dxa"/>
        <w:tblInd w:w="70" w:type="dxa"/>
        <w:tblCellMar>
          <w:left w:w="70" w:type="dxa"/>
          <w:right w:w="70" w:type="dxa"/>
        </w:tblCellMar>
        <w:tblLook w:val="0000" w:firstRow="0" w:lastRow="0" w:firstColumn="0" w:lastColumn="0" w:noHBand="0" w:noVBand="0"/>
      </w:tblPr>
      <w:tblGrid>
        <w:gridCol w:w="6876"/>
        <w:gridCol w:w="2126"/>
      </w:tblGrid>
      <w:tr w:rsidR="007A4C60" w:rsidRPr="00095674" w14:paraId="102204E9" w14:textId="77777777" w:rsidTr="007A4C60">
        <w:trPr>
          <w:trHeight w:val="20"/>
        </w:trPr>
        <w:tc>
          <w:tcPr>
            <w:tcW w:w="6876" w:type="dxa"/>
            <w:tcBorders>
              <w:bottom w:val="single" w:sz="4" w:space="0" w:color="auto"/>
            </w:tcBorders>
            <w:shd w:val="clear" w:color="auto" w:fill="FFFFFF"/>
            <w:vAlign w:val="center"/>
          </w:tcPr>
          <w:p w14:paraId="77BE8288" w14:textId="77777777" w:rsidR="007A4C60" w:rsidRPr="00095674" w:rsidRDefault="007A4C60" w:rsidP="00AA3F98">
            <w:pPr>
              <w:spacing w:after="0"/>
              <w:jc w:val="center"/>
              <w:rPr>
                <w:rFonts w:eastAsia="Times New Roman" w:cs="Calibri"/>
                <w:b/>
                <w:bCs/>
                <w:sz w:val="20"/>
                <w:szCs w:val="20"/>
                <w:lang w:eastAsia="zh-CN"/>
              </w:rPr>
            </w:pPr>
          </w:p>
        </w:tc>
        <w:tc>
          <w:tcPr>
            <w:tcW w:w="2126" w:type="dxa"/>
            <w:tcBorders>
              <w:bottom w:val="single" w:sz="4" w:space="0" w:color="auto"/>
            </w:tcBorders>
            <w:shd w:val="clear" w:color="auto" w:fill="FFFFFF"/>
          </w:tcPr>
          <w:p w14:paraId="62A28700" w14:textId="77777777" w:rsidR="007A4C60" w:rsidRPr="00095674" w:rsidRDefault="007A4C60" w:rsidP="00AA3F98">
            <w:pPr>
              <w:spacing w:after="0"/>
              <w:jc w:val="right"/>
              <w:rPr>
                <w:rFonts w:eastAsia="Times New Roman" w:cs="Calibri"/>
                <w:sz w:val="20"/>
                <w:szCs w:val="20"/>
                <w:lang w:eastAsia="zh-CN"/>
              </w:rPr>
            </w:pPr>
            <w:r w:rsidRPr="00095674">
              <w:rPr>
                <w:rFonts w:eastAsia="Times New Roman" w:cs="Calibri"/>
                <w:sz w:val="20"/>
                <w:szCs w:val="20"/>
                <w:lang w:eastAsia="zh-CN"/>
              </w:rPr>
              <w:t>R$ 1,00</w:t>
            </w:r>
          </w:p>
        </w:tc>
      </w:tr>
      <w:tr w:rsidR="007A4C60" w:rsidRPr="00095674" w14:paraId="5669C295" w14:textId="77777777" w:rsidTr="007A4C60">
        <w:trPr>
          <w:trHeight w:val="20"/>
        </w:trPr>
        <w:tc>
          <w:tcPr>
            <w:tcW w:w="6876" w:type="dxa"/>
            <w:tcBorders>
              <w:top w:val="single" w:sz="4" w:space="0" w:color="auto"/>
              <w:left w:val="single" w:sz="4" w:space="0" w:color="auto"/>
              <w:bottom w:val="single" w:sz="4" w:space="0" w:color="auto"/>
              <w:right w:val="single" w:sz="4" w:space="0" w:color="auto"/>
            </w:tcBorders>
            <w:shd w:val="clear" w:color="auto" w:fill="FFFFFF"/>
            <w:vAlign w:val="center"/>
          </w:tcPr>
          <w:p w14:paraId="0423266E" w14:textId="77777777" w:rsidR="007A4C60" w:rsidRPr="00095674" w:rsidRDefault="007A4C60" w:rsidP="00AA3F98">
            <w:pPr>
              <w:spacing w:after="0"/>
              <w:jc w:val="center"/>
              <w:rPr>
                <w:rFonts w:eastAsia="Times New Roman" w:cs="Calibri"/>
                <w:b/>
                <w:bCs/>
                <w:sz w:val="20"/>
                <w:szCs w:val="20"/>
                <w:lang w:eastAsia="zh-CN"/>
              </w:rPr>
            </w:pPr>
            <w:r w:rsidRPr="00095674">
              <w:rPr>
                <w:rFonts w:eastAsia="Times New Roman" w:cs="Calibri"/>
                <w:b/>
                <w:bCs/>
                <w:sz w:val="20"/>
                <w:szCs w:val="20"/>
                <w:lang w:eastAsia="zh-CN"/>
              </w:rPr>
              <w:t>Título / Subtítulo</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385FDE3" w14:textId="77777777" w:rsidR="007A4C60" w:rsidRPr="00095674" w:rsidRDefault="007A4C60" w:rsidP="00AA3F98">
            <w:pPr>
              <w:spacing w:after="0"/>
              <w:jc w:val="center"/>
              <w:rPr>
                <w:rFonts w:eastAsia="Times New Roman" w:cs="Calibri"/>
                <w:b/>
                <w:bCs/>
                <w:sz w:val="20"/>
                <w:szCs w:val="20"/>
                <w:lang w:eastAsia="zh-CN"/>
              </w:rPr>
            </w:pPr>
            <w:r w:rsidRPr="00095674">
              <w:rPr>
                <w:rFonts w:eastAsia="Times New Roman" w:cs="Calibri"/>
                <w:b/>
                <w:bCs/>
                <w:sz w:val="20"/>
                <w:szCs w:val="20"/>
                <w:lang w:eastAsia="zh-CN"/>
              </w:rPr>
              <w:t>Saldo</w:t>
            </w:r>
          </w:p>
        </w:tc>
      </w:tr>
      <w:tr w:rsidR="007A4C60" w:rsidRPr="00095674" w14:paraId="47755359" w14:textId="77777777" w:rsidTr="00095674">
        <w:trPr>
          <w:trHeight w:val="20"/>
        </w:trPr>
        <w:tc>
          <w:tcPr>
            <w:tcW w:w="6876" w:type="dxa"/>
            <w:tcBorders>
              <w:top w:val="single" w:sz="4" w:space="0" w:color="auto"/>
              <w:left w:val="single" w:sz="4" w:space="0" w:color="auto"/>
              <w:bottom w:val="single" w:sz="4" w:space="0" w:color="auto"/>
              <w:right w:val="single" w:sz="4" w:space="0" w:color="auto"/>
            </w:tcBorders>
            <w:shd w:val="clear" w:color="auto" w:fill="FFFFFF"/>
            <w:vAlign w:val="center"/>
          </w:tcPr>
          <w:p w14:paraId="325AB528"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1.2.3.1.1.01 – MAQUINAS, APARELHOS, EQUIPAMENTOS E FERRAMENTAS</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bottom"/>
          </w:tcPr>
          <w:p w14:paraId="5CE49001" w14:textId="77092640"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5.912.624,02</w:t>
            </w:r>
          </w:p>
        </w:tc>
      </w:tr>
      <w:tr w:rsidR="007A4C60" w:rsidRPr="00095674" w14:paraId="77819534"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7B0B6721"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1.2.3.1.1.02 – BENS DE INFORMATICA</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7F80491B" w14:textId="5A50CF0C"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701.117,62</w:t>
            </w:r>
          </w:p>
        </w:tc>
      </w:tr>
      <w:tr w:rsidR="007A4C60" w:rsidRPr="00095674" w14:paraId="35733DC7"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4145EA98"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1.2.3.1.1.03 – MOVEIS E UTENSILIOS</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3245A90E" w14:textId="20671EA8"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2.000.354,66</w:t>
            </w:r>
          </w:p>
        </w:tc>
      </w:tr>
      <w:tr w:rsidR="007A4C60" w:rsidRPr="00095674" w14:paraId="136CC477"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2115BDE8"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1.2.3.1.1.04 – MATERIAIS CULTURAIS, EDUCACIONAIS E DE COMUNICACAO</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5A23331D" w14:textId="0E83B545"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351.853,81</w:t>
            </w:r>
          </w:p>
        </w:tc>
      </w:tr>
      <w:tr w:rsidR="007A4C60" w:rsidRPr="00095674" w14:paraId="5A5E387C"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4EB9D668"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1.2.3.1.1.05 – VEICULOS</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4A633111" w14:textId="0976D726"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9.598.159,65</w:t>
            </w:r>
          </w:p>
        </w:tc>
      </w:tr>
      <w:tr w:rsidR="007A4C60" w:rsidRPr="00095674" w14:paraId="5EEE39A1"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6BA9C8AF"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1.2.3.1.1.06 – PECAS E CONJUNTOS DE REPOSICAO</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6B84C108" w14:textId="3F5B2100"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0,00</w:t>
            </w:r>
          </w:p>
        </w:tc>
      </w:tr>
      <w:tr w:rsidR="007A4C60" w:rsidRPr="00095674" w14:paraId="4757195C"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7425BAB7"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1.2.3.1.1.07 – BENS MOVEIS EM ANDAMENTO</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6678E787" w14:textId="7D9B74E4"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0,00</w:t>
            </w:r>
          </w:p>
        </w:tc>
      </w:tr>
      <w:tr w:rsidR="007A4C60" w:rsidRPr="00095674" w14:paraId="13695008"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7374A6CD"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1.2.3.1.1.08 – BENS MOVEIS EM ALMOXARIFADO</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5D2FF225" w14:textId="6D05237A"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1.380,00</w:t>
            </w:r>
          </w:p>
        </w:tc>
      </w:tr>
      <w:tr w:rsidR="007A4C60" w:rsidRPr="00095674" w14:paraId="567F2A08"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4A300D89"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1.2.3.1.1.09 – ARMAMENTOS</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30841750" w14:textId="17AC506E"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0,00</w:t>
            </w:r>
          </w:p>
        </w:tc>
      </w:tr>
      <w:tr w:rsidR="007A4C60" w:rsidRPr="00095674" w14:paraId="00BDC7D3"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677C6A2B"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1.2.3.1.1.10 – SEMOVENTES</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2B01D7BA" w14:textId="4B004FD6"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1.380,00</w:t>
            </w:r>
          </w:p>
        </w:tc>
      </w:tr>
      <w:tr w:rsidR="007A4C60" w:rsidRPr="00095674" w14:paraId="7C4AD316"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0BA7A78C"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1.2.3.1.1.99 – DEMAIS BENS MOVEIS</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39D35AB0" w14:textId="34EA402A"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18.521,60</w:t>
            </w:r>
          </w:p>
        </w:tc>
      </w:tr>
      <w:tr w:rsidR="007A4C60" w:rsidRPr="00095674" w14:paraId="3F059E79"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5D90DD8A"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1.2.3.2.1.06 – BENS IMÓVEIS EM ANDAMENTO</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198FDC5D" w14:textId="01C6EEC3"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16.500,00</w:t>
            </w:r>
          </w:p>
        </w:tc>
      </w:tr>
      <w:tr w:rsidR="007A4C60" w:rsidRPr="00095674" w14:paraId="3EF1F912" w14:textId="77777777" w:rsidTr="00095674">
        <w:trPr>
          <w:trHeight w:val="20"/>
        </w:trPr>
        <w:tc>
          <w:tcPr>
            <w:tcW w:w="6876" w:type="dxa"/>
            <w:tcBorders>
              <w:top w:val="nil"/>
              <w:left w:val="single" w:sz="4" w:space="0" w:color="auto"/>
              <w:bottom w:val="single" w:sz="4" w:space="0" w:color="auto"/>
              <w:right w:val="single" w:sz="4" w:space="0" w:color="auto"/>
            </w:tcBorders>
            <w:shd w:val="clear" w:color="auto" w:fill="FFFFFF"/>
            <w:vAlign w:val="center"/>
          </w:tcPr>
          <w:p w14:paraId="559D54C2"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1.2.3.8.1.01 – (-) DEPRECIAÇÃO ACUMULADA – BENS MÓVEIS</w:t>
            </w:r>
          </w:p>
        </w:tc>
        <w:tc>
          <w:tcPr>
            <w:tcW w:w="2126" w:type="dxa"/>
            <w:tcBorders>
              <w:top w:val="nil"/>
              <w:left w:val="single" w:sz="4" w:space="0" w:color="auto"/>
              <w:bottom w:val="single" w:sz="4" w:space="0" w:color="auto"/>
              <w:right w:val="single" w:sz="4" w:space="0" w:color="auto"/>
            </w:tcBorders>
            <w:shd w:val="clear" w:color="auto" w:fill="FFFFFF"/>
            <w:vAlign w:val="bottom"/>
          </w:tcPr>
          <w:p w14:paraId="0FC9774A" w14:textId="0964B688"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6.813.172,79</w:t>
            </w:r>
          </w:p>
        </w:tc>
      </w:tr>
      <w:tr w:rsidR="007A4C60" w:rsidRPr="00095674" w14:paraId="4307D525" w14:textId="77777777" w:rsidTr="00095674">
        <w:trPr>
          <w:trHeight w:val="20"/>
        </w:trPr>
        <w:tc>
          <w:tcPr>
            <w:tcW w:w="6876" w:type="dxa"/>
            <w:tcBorders>
              <w:top w:val="single" w:sz="4" w:space="0" w:color="auto"/>
              <w:left w:val="single" w:sz="4" w:space="0" w:color="auto"/>
              <w:bottom w:val="single" w:sz="4" w:space="0" w:color="auto"/>
              <w:right w:val="single" w:sz="4" w:space="0" w:color="auto"/>
            </w:tcBorders>
            <w:shd w:val="clear" w:color="auto" w:fill="FFFFFF"/>
            <w:vAlign w:val="center"/>
          </w:tcPr>
          <w:p w14:paraId="63ED014D" w14:textId="77777777" w:rsidR="007A4C60" w:rsidRPr="00095674" w:rsidRDefault="007A4C60" w:rsidP="007A4C60">
            <w:pPr>
              <w:spacing w:after="0"/>
              <w:ind w:firstLine="4"/>
              <w:rPr>
                <w:rFonts w:eastAsia="Times New Roman" w:cs="Calibri"/>
                <w:sz w:val="20"/>
                <w:szCs w:val="20"/>
                <w:lang w:eastAsia="zh-CN"/>
              </w:rPr>
            </w:pPr>
            <w:r w:rsidRPr="00095674">
              <w:rPr>
                <w:rFonts w:eastAsia="Times New Roman" w:cs="Calibri"/>
                <w:sz w:val="20"/>
                <w:szCs w:val="20"/>
                <w:lang w:eastAsia="zh-CN"/>
              </w:rPr>
              <w:t>1.2.3.9.1.01 – (-) REDUÇÃO AO VALOR RECUPERÁVEL DE IMOBILIZADO - BENS MOVEIS</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bottom"/>
          </w:tcPr>
          <w:p w14:paraId="1657D80B" w14:textId="64A16E01" w:rsidR="007A4C60" w:rsidRPr="00095674" w:rsidRDefault="007A4C60" w:rsidP="007A4C60">
            <w:pPr>
              <w:spacing w:after="0"/>
              <w:jc w:val="right"/>
              <w:rPr>
                <w:rFonts w:eastAsia="Times New Roman" w:cs="Calibri"/>
                <w:sz w:val="20"/>
                <w:szCs w:val="20"/>
                <w:lang w:eastAsia="zh-CN"/>
              </w:rPr>
            </w:pPr>
            <w:r w:rsidRPr="00095674">
              <w:rPr>
                <w:rFonts w:cs="Calibri"/>
                <w:color w:val="000000"/>
                <w:sz w:val="20"/>
                <w:szCs w:val="20"/>
              </w:rPr>
              <w:t>0,00</w:t>
            </w:r>
          </w:p>
        </w:tc>
      </w:tr>
      <w:tr w:rsidR="007A4C60" w:rsidRPr="00095674" w14:paraId="355134E6" w14:textId="77777777" w:rsidTr="00095674">
        <w:trPr>
          <w:trHeight w:val="20"/>
        </w:trPr>
        <w:tc>
          <w:tcPr>
            <w:tcW w:w="6876" w:type="dxa"/>
            <w:tcBorders>
              <w:top w:val="single" w:sz="4" w:space="0" w:color="auto"/>
              <w:left w:val="single" w:sz="4" w:space="0" w:color="auto"/>
              <w:bottom w:val="single" w:sz="4" w:space="0" w:color="auto"/>
              <w:right w:val="single" w:sz="4" w:space="0" w:color="auto"/>
            </w:tcBorders>
            <w:shd w:val="clear" w:color="auto" w:fill="FFFFFF"/>
            <w:vAlign w:val="center"/>
          </w:tcPr>
          <w:p w14:paraId="1E88BA4B" w14:textId="77777777" w:rsidR="007A4C60" w:rsidRPr="00095674" w:rsidRDefault="007A4C60" w:rsidP="007A4C60">
            <w:pPr>
              <w:spacing w:after="0"/>
              <w:ind w:firstLine="4"/>
              <w:rPr>
                <w:rFonts w:eastAsia="Times New Roman" w:cs="Calibri"/>
                <w:b/>
                <w:bCs/>
                <w:sz w:val="20"/>
                <w:szCs w:val="20"/>
                <w:lang w:eastAsia="zh-CN"/>
              </w:rPr>
            </w:pPr>
            <w:r w:rsidRPr="00095674">
              <w:rPr>
                <w:rFonts w:eastAsia="Times New Roman" w:cs="Calibri"/>
                <w:b/>
                <w:bCs/>
                <w:sz w:val="20"/>
                <w:szCs w:val="20"/>
                <w:lang w:eastAsia="zh-CN"/>
              </w:rPr>
              <w:t>Total de Bens Móveis E Imóveis</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bottom"/>
          </w:tcPr>
          <w:p w14:paraId="7E5F9E84" w14:textId="20FF2C57" w:rsidR="007A4C60" w:rsidRPr="00095674" w:rsidRDefault="007A4C60" w:rsidP="007A4C60">
            <w:pPr>
              <w:spacing w:after="0"/>
              <w:jc w:val="right"/>
              <w:rPr>
                <w:rFonts w:eastAsia="Times New Roman" w:cs="Calibri"/>
                <w:b/>
                <w:bCs/>
                <w:sz w:val="20"/>
                <w:szCs w:val="20"/>
                <w:lang w:eastAsia="zh-CN"/>
              </w:rPr>
            </w:pPr>
            <w:r w:rsidRPr="00095674">
              <w:rPr>
                <w:rFonts w:cs="Calibri"/>
                <w:b/>
                <w:bCs/>
                <w:color w:val="000000"/>
                <w:sz w:val="20"/>
                <w:szCs w:val="20"/>
              </w:rPr>
              <w:t>11.787.338,60</w:t>
            </w:r>
          </w:p>
        </w:tc>
      </w:tr>
    </w:tbl>
    <w:p w14:paraId="6CA8D5DA" w14:textId="77777777" w:rsidR="007A4C60" w:rsidRDefault="007A4C60" w:rsidP="00DF4CA2">
      <w:pPr>
        <w:spacing w:after="0"/>
        <w:rPr>
          <w:rFonts w:eastAsia="Times New Roman"/>
          <w:sz w:val="22"/>
          <w:szCs w:val="22"/>
          <w:lang w:eastAsia="pt-BR"/>
        </w:rPr>
      </w:pPr>
    </w:p>
    <w:p w14:paraId="4FA4475E" w14:textId="6C52AEC6" w:rsidR="00DF6228" w:rsidRPr="001C1F0E" w:rsidRDefault="00DF4CA2" w:rsidP="00DF6228">
      <w:pPr>
        <w:spacing w:after="0"/>
        <w:rPr>
          <w:rFonts w:eastAsia="Times New Roman"/>
          <w:sz w:val="22"/>
          <w:szCs w:val="22"/>
          <w:lang w:eastAsia="pt-BR"/>
        </w:rPr>
      </w:pPr>
      <w:r w:rsidRPr="001C1F0E">
        <w:rPr>
          <w:rFonts w:eastAsia="Times New Roman"/>
          <w:b/>
          <w:bCs/>
          <w:sz w:val="22"/>
          <w:szCs w:val="22"/>
          <w:lang w:eastAsia="pt-BR"/>
        </w:rPr>
        <w:t xml:space="preserve">Nota 10 – Imobilizado – Bens Imóveis: </w:t>
      </w:r>
      <w:r w:rsidRPr="001C1F0E">
        <w:rPr>
          <w:rFonts w:eastAsia="Times New Roman"/>
          <w:sz w:val="22"/>
          <w:szCs w:val="22"/>
          <w:lang w:eastAsia="pt-BR"/>
        </w:rPr>
        <w:t>os saldos apresentados compreendem os</w:t>
      </w:r>
      <w:r w:rsidRPr="001C1F0E">
        <w:rPr>
          <w:rFonts w:eastAsia="Times New Roman"/>
          <w:b/>
          <w:bCs/>
          <w:sz w:val="22"/>
          <w:szCs w:val="22"/>
          <w:lang w:eastAsia="pt-BR"/>
        </w:rPr>
        <w:t xml:space="preserve"> </w:t>
      </w:r>
      <w:r w:rsidRPr="001C1F0E">
        <w:rPr>
          <w:rFonts w:eastAsia="Times New Roman"/>
          <w:sz w:val="22"/>
          <w:szCs w:val="22"/>
          <w:lang w:eastAsia="pt-BR"/>
        </w:rPr>
        <w:t xml:space="preserve">bens vinculados ao solo e que não podem ser retirados sem destruição ou dano, destinados ao uso. Visando espelhar a realidade patrimonial para elaboração do Balanço, em observância às normas vigentes, deu-se início aos procedimentos de inventário, avaliação / reavaliação, depreciação e quando cabível, a amortização ou exaustão dos bens imóveis.  </w:t>
      </w:r>
    </w:p>
    <w:tbl>
      <w:tblPr>
        <w:tblpPr w:leftFromText="141" w:rightFromText="141" w:vertAnchor="text" w:tblpY="1"/>
        <w:tblOverlap w:val="never"/>
        <w:tblW w:w="0" w:type="auto"/>
        <w:tblCellMar>
          <w:left w:w="70" w:type="dxa"/>
          <w:right w:w="70" w:type="dxa"/>
        </w:tblCellMar>
        <w:tblLook w:val="0000" w:firstRow="0" w:lastRow="0" w:firstColumn="0" w:lastColumn="0" w:noHBand="0" w:noVBand="0"/>
      </w:tblPr>
      <w:tblGrid>
        <w:gridCol w:w="7373"/>
        <w:gridCol w:w="1689"/>
      </w:tblGrid>
      <w:tr w:rsidR="00095674" w:rsidRPr="00095674" w14:paraId="4FCDA7E8" w14:textId="77777777" w:rsidTr="00AA3F98">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3DEA5A62" w14:textId="77777777" w:rsidR="00095674" w:rsidRPr="00095674" w:rsidRDefault="00095674" w:rsidP="00095674">
            <w:pPr>
              <w:spacing w:after="0"/>
              <w:ind w:firstLine="0"/>
              <w:jc w:val="center"/>
              <w:rPr>
                <w:rFonts w:eastAsia="Times New Roman" w:cs="Arial"/>
                <w:b/>
                <w:bCs/>
                <w:sz w:val="20"/>
                <w:szCs w:val="20"/>
                <w:lang w:eastAsia="zh-CN"/>
              </w:rPr>
            </w:pPr>
            <w:r w:rsidRPr="00095674">
              <w:rPr>
                <w:rFonts w:eastAsia="Times New Roman" w:cs="Arial"/>
                <w:b/>
                <w:bCs/>
                <w:sz w:val="20"/>
                <w:szCs w:val="20"/>
                <w:lang w:eastAsia="zh-CN"/>
              </w:rPr>
              <w:t>Título / Subtítulo</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629A2D6D" w14:textId="77777777" w:rsidR="00095674" w:rsidRPr="00095674" w:rsidRDefault="00095674" w:rsidP="00095674">
            <w:pPr>
              <w:spacing w:after="0"/>
              <w:ind w:firstLine="0"/>
              <w:jc w:val="center"/>
              <w:rPr>
                <w:rFonts w:eastAsia="Times New Roman" w:cs="Arial"/>
                <w:b/>
                <w:bCs/>
                <w:sz w:val="20"/>
                <w:szCs w:val="20"/>
                <w:lang w:eastAsia="zh-CN"/>
              </w:rPr>
            </w:pPr>
            <w:r w:rsidRPr="00095674">
              <w:rPr>
                <w:rFonts w:eastAsia="Times New Roman" w:cs="Arial"/>
                <w:b/>
                <w:bCs/>
                <w:sz w:val="20"/>
                <w:szCs w:val="20"/>
                <w:lang w:eastAsia="zh-CN"/>
              </w:rPr>
              <w:t>Saldo</w:t>
            </w:r>
          </w:p>
        </w:tc>
      </w:tr>
      <w:tr w:rsidR="00095674" w:rsidRPr="00095674" w14:paraId="154BFAF4" w14:textId="77777777" w:rsidTr="00AA3F98">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1FAF4C0B" w14:textId="77777777" w:rsidR="00095674" w:rsidRPr="00095674" w:rsidRDefault="00095674" w:rsidP="00095674">
            <w:pPr>
              <w:spacing w:after="0"/>
              <w:ind w:firstLine="0"/>
              <w:rPr>
                <w:rFonts w:eastAsia="Times New Roman" w:cs="Arial"/>
                <w:sz w:val="20"/>
                <w:szCs w:val="20"/>
                <w:lang w:eastAsia="zh-CN"/>
              </w:rPr>
            </w:pPr>
            <w:r w:rsidRPr="00095674">
              <w:rPr>
                <w:rFonts w:eastAsia="Times New Roman" w:cs="Arial"/>
                <w:sz w:val="20"/>
                <w:szCs w:val="20"/>
                <w:lang w:eastAsia="zh-CN"/>
              </w:rPr>
              <w:t>1.2.3.2.1.01 - BENS DE USO ESPECIAL</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230516E4" w14:textId="77777777" w:rsidR="00095674" w:rsidRPr="00095674" w:rsidRDefault="00095674" w:rsidP="00095674">
            <w:pPr>
              <w:spacing w:after="0"/>
              <w:ind w:firstLine="0"/>
              <w:jc w:val="right"/>
              <w:rPr>
                <w:rFonts w:eastAsia="Times New Roman" w:cs="Arial"/>
                <w:sz w:val="20"/>
                <w:szCs w:val="20"/>
                <w:lang w:eastAsia="zh-CN"/>
              </w:rPr>
            </w:pPr>
            <w:r w:rsidRPr="00095674">
              <w:rPr>
                <w:rFonts w:eastAsia="Times New Roman" w:cs="Arial"/>
                <w:sz w:val="20"/>
                <w:szCs w:val="20"/>
                <w:lang w:eastAsia="zh-CN"/>
              </w:rPr>
              <w:t>5.802.154,43</w:t>
            </w:r>
          </w:p>
        </w:tc>
      </w:tr>
      <w:tr w:rsidR="00095674" w:rsidRPr="00095674" w14:paraId="05FB9C0F" w14:textId="77777777" w:rsidTr="00AA3F98">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1EE7191E" w14:textId="77777777" w:rsidR="00095674" w:rsidRPr="00095674" w:rsidRDefault="00095674" w:rsidP="00095674">
            <w:pPr>
              <w:spacing w:after="0"/>
              <w:ind w:firstLine="0"/>
              <w:rPr>
                <w:rFonts w:eastAsia="Times New Roman" w:cs="Arial"/>
                <w:sz w:val="20"/>
                <w:szCs w:val="20"/>
                <w:lang w:eastAsia="zh-CN"/>
              </w:rPr>
            </w:pPr>
            <w:r w:rsidRPr="00095674">
              <w:rPr>
                <w:rFonts w:eastAsia="Times New Roman" w:cs="Arial"/>
                <w:sz w:val="20"/>
                <w:szCs w:val="20"/>
                <w:lang w:eastAsia="zh-CN"/>
              </w:rPr>
              <w:t>1.2.3.2.1.04 - BENS DOMINICAIS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22BB4966" w14:textId="77777777" w:rsidR="00095674" w:rsidRPr="00095674" w:rsidRDefault="00095674" w:rsidP="00095674">
            <w:pPr>
              <w:spacing w:after="0"/>
              <w:ind w:firstLine="0"/>
              <w:jc w:val="right"/>
              <w:rPr>
                <w:rFonts w:eastAsia="Times New Roman" w:cs="Arial"/>
                <w:sz w:val="20"/>
                <w:szCs w:val="20"/>
                <w:lang w:eastAsia="zh-CN"/>
              </w:rPr>
            </w:pPr>
            <w:r w:rsidRPr="00095674">
              <w:rPr>
                <w:rFonts w:eastAsia="Times New Roman" w:cs="Arial"/>
                <w:sz w:val="20"/>
                <w:szCs w:val="20"/>
                <w:lang w:eastAsia="zh-CN"/>
              </w:rPr>
              <w:t>4.672.802,85</w:t>
            </w:r>
          </w:p>
        </w:tc>
      </w:tr>
      <w:tr w:rsidR="00095674" w:rsidRPr="00095674" w14:paraId="23E7EB0A" w14:textId="77777777" w:rsidTr="00AA3F98">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209EA24D" w14:textId="77777777" w:rsidR="00095674" w:rsidRPr="00095674" w:rsidRDefault="00095674" w:rsidP="00095674">
            <w:pPr>
              <w:spacing w:after="0"/>
              <w:ind w:firstLine="0"/>
              <w:rPr>
                <w:rFonts w:eastAsia="Times New Roman" w:cs="Arial"/>
                <w:sz w:val="20"/>
                <w:szCs w:val="20"/>
                <w:lang w:eastAsia="zh-CN"/>
              </w:rPr>
            </w:pPr>
            <w:r w:rsidRPr="00095674">
              <w:rPr>
                <w:rFonts w:eastAsia="Times New Roman" w:cs="Arial"/>
                <w:sz w:val="20"/>
                <w:szCs w:val="20"/>
                <w:lang w:eastAsia="zh-CN"/>
              </w:rPr>
              <w:t>1.2.3.2.1.05 - BENS DE USO COMUM DO POVO</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00C515F4" w14:textId="77777777" w:rsidR="00095674" w:rsidRPr="00095674" w:rsidRDefault="00095674" w:rsidP="00095674">
            <w:pPr>
              <w:spacing w:after="0"/>
              <w:ind w:firstLine="0"/>
              <w:jc w:val="right"/>
              <w:rPr>
                <w:rFonts w:eastAsia="Times New Roman" w:cs="Arial"/>
                <w:sz w:val="20"/>
                <w:szCs w:val="20"/>
                <w:lang w:eastAsia="zh-CN"/>
              </w:rPr>
            </w:pPr>
            <w:r w:rsidRPr="00095674">
              <w:rPr>
                <w:rFonts w:eastAsia="Times New Roman" w:cs="Arial"/>
                <w:sz w:val="20"/>
                <w:szCs w:val="20"/>
                <w:lang w:eastAsia="zh-CN"/>
              </w:rPr>
              <w:t>201.623,96</w:t>
            </w:r>
          </w:p>
        </w:tc>
      </w:tr>
      <w:tr w:rsidR="00095674" w:rsidRPr="00095674" w14:paraId="7AB4215A" w14:textId="77777777" w:rsidTr="00AA3F98">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1330975C" w14:textId="77777777" w:rsidR="00095674" w:rsidRPr="00095674" w:rsidRDefault="00095674" w:rsidP="00095674">
            <w:pPr>
              <w:spacing w:after="0"/>
              <w:ind w:firstLine="0"/>
              <w:rPr>
                <w:rFonts w:eastAsia="Times New Roman" w:cs="Arial"/>
                <w:sz w:val="20"/>
                <w:szCs w:val="20"/>
                <w:lang w:eastAsia="zh-CN"/>
              </w:rPr>
            </w:pPr>
            <w:r w:rsidRPr="00095674">
              <w:rPr>
                <w:rFonts w:eastAsia="Times New Roman" w:cs="Arial"/>
                <w:sz w:val="20"/>
                <w:szCs w:val="20"/>
                <w:lang w:eastAsia="zh-CN"/>
              </w:rPr>
              <w:t>1.2.3.2.1.06 - BENS IMOVEIS EM ANDAMENTO</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4A2B504B" w14:textId="77777777" w:rsidR="00095674" w:rsidRPr="00095674" w:rsidRDefault="00095674" w:rsidP="00095674">
            <w:pPr>
              <w:spacing w:after="0"/>
              <w:ind w:firstLine="0"/>
              <w:jc w:val="right"/>
              <w:rPr>
                <w:rFonts w:eastAsia="Times New Roman" w:cs="Arial"/>
                <w:sz w:val="20"/>
                <w:szCs w:val="20"/>
                <w:lang w:eastAsia="zh-CN"/>
              </w:rPr>
            </w:pPr>
            <w:r w:rsidRPr="00095674">
              <w:rPr>
                <w:rFonts w:eastAsia="Times New Roman" w:cs="Arial"/>
                <w:sz w:val="20"/>
                <w:szCs w:val="20"/>
                <w:lang w:eastAsia="zh-CN"/>
              </w:rPr>
              <w:t>0,00</w:t>
            </w:r>
          </w:p>
        </w:tc>
      </w:tr>
      <w:tr w:rsidR="00095674" w:rsidRPr="00095674" w14:paraId="34326C8A" w14:textId="77777777" w:rsidTr="00AA3F98">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6B706298" w14:textId="77777777" w:rsidR="00095674" w:rsidRPr="00095674" w:rsidRDefault="00095674" w:rsidP="00095674">
            <w:pPr>
              <w:spacing w:after="0"/>
              <w:ind w:firstLine="0"/>
              <w:rPr>
                <w:rFonts w:eastAsia="Times New Roman" w:cs="Arial"/>
                <w:sz w:val="20"/>
                <w:szCs w:val="20"/>
                <w:lang w:eastAsia="zh-CN"/>
              </w:rPr>
            </w:pPr>
            <w:r w:rsidRPr="00095674">
              <w:rPr>
                <w:rFonts w:eastAsia="Times New Roman" w:cs="Arial"/>
                <w:sz w:val="20"/>
                <w:szCs w:val="20"/>
                <w:lang w:eastAsia="zh-CN"/>
              </w:rPr>
              <w:t>1.2.3.2.1.99 - DEMAIS BENS IMOVEIS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51834672" w14:textId="77777777" w:rsidR="00095674" w:rsidRPr="00095674" w:rsidRDefault="00095674" w:rsidP="00095674">
            <w:pPr>
              <w:spacing w:after="0"/>
              <w:ind w:firstLine="0"/>
              <w:jc w:val="right"/>
              <w:rPr>
                <w:rFonts w:eastAsia="Times New Roman" w:cs="Arial"/>
                <w:sz w:val="20"/>
                <w:szCs w:val="20"/>
                <w:lang w:eastAsia="zh-CN"/>
              </w:rPr>
            </w:pPr>
            <w:r w:rsidRPr="00095674">
              <w:rPr>
                <w:rFonts w:eastAsia="Times New Roman" w:cs="Arial"/>
                <w:sz w:val="20"/>
                <w:szCs w:val="20"/>
                <w:lang w:eastAsia="zh-CN"/>
              </w:rPr>
              <w:t>23.500,00</w:t>
            </w:r>
          </w:p>
        </w:tc>
      </w:tr>
      <w:tr w:rsidR="00095674" w:rsidRPr="00095674" w14:paraId="3D66BF3C" w14:textId="77777777" w:rsidTr="00AA3F98">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0D7ABDE8" w14:textId="77777777" w:rsidR="00095674" w:rsidRPr="00095674" w:rsidRDefault="00095674" w:rsidP="00095674">
            <w:pPr>
              <w:spacing w:after="0"/>
              <w:ind w:firstLine="0"/>
              <w:rPr>
                <w:rFonts w:eastAsia="Times New Roman" w:cs="Arial"/>
                <w:sz w:val="20"/>
                <w:szCs w:val="20"/>
                <w:lang w:eastAsia="zh-CN"/>
              </w:rPr>
            </w:pPr>
            <w:r w:rsidRPr="00095674">
              <w:rPr>
                <w:rFonts w:eastAsia="Times New Roman" w:cs="Arial"/>
                <w:sz w:val="20"/>
                <w:szCs w:val="20"/>
                <w:lang w:eastAsia="zh-CN"/>
              </w:rPr>
              <w:t>1.2.3.8.1.02 - (-) DEPRECIAÇÃO ACUMULADA – BENS IMÓVEIS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38D4239B" w14:textId="77777777" w:rsidR="00095674" w:rsidRPr="00095674" w:rsidRDefault="00095674" w:rsidP="00095674">
            <w:pPr>
              <w:spacing w:after="0"/>
              <w:ind w:firstLine="0"/>
              <w:jc w:val="right"/>
              <w:rPr>
                <w:rFonts w:eastAsia="Times New Roman" w:cs="Arial"/>
                <w:sz w:val="20"/>
                <w:szCs w:val="20"/>
                <w:lang w:eastAsia="zh-CN"/>
              </w:rPr>
            </w:pPr>
            <w:r w:rsidRPr="00095674">
              <w:rPr>
                <w:rFonts w:eastAsia="Times New Roman" w:cs="Arial"/>
                <w:sz w:val="20"/>
                <w:szCs w:val="20"/>
                <w:lang w:eastAsia="zh-CN"/>
              </w:rPr>
              <w:t>1.365.371,75</w:t>
            </w:r>
          </w:p>
        </w:tc>
      </w:tr>
      <w:tr w:rsidR="00095674" w:rsidRPr="00095674" w14:paraId="03D1131B" w14:textId="77777777" w:rsidTr="00AA3F98">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29C3370B" w14:textId="77777777" w:rsidR="00095674" w:rsidRPr="00095674" w:rsidRDefault="00095674" w:rsidP="00095674">
            <w:pPr>
              <w:spacing w:after="0"/>
              <w:ind w:firstLine="0"/>
              <w:rPr>
                <w:rFonts w:eastAsia="Times New Roman" w:cs="Arial"/>
                <w:sz w:val="20"/>
                <w:szCs w:val="20"/>
                <w:lang w:eastAsia="zh-CN"/>
              </w:rPr>
            </w:pPr>
            <w:r w:rsidRPr="00095674">
              <w:rPr>
                <w:rFonts w:eastAsia="Times New Roman" w:cs="Arial"/>
                <w:sz w:val="20"/>
                <w:szCs w:val="20"/>
                <w:lang w:eastAsia="zh-CN"/>
              </w:rPr>
              <w:t>1.2.3.8.1.04 - (-) EXAUSTÃO ACUMULADA – BENS IMÓVEIS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41235718" w14:textId="77777777" w:rsidR="00095674" w:rsidRPr="00095674" w:rsidRDefault="00095674" w:rsidP="00095674">
            <w:pPr>
              <w:spacing w:after="0"/>
              <w:ind w:firstLine="0"/>
              <w:jc w:val="right"/>
              <w:rPr>
                <w:rFonts w:eastAsia="Times New Roman" w:cs="Arial"/>
                <w:sz w:val="20"/>
                <w:szCs w:val="20"/>
                <w:lang w:eastAsia="pt-BR"/>
              </w:rPr>
            </w:pPr>
            <w:r w:rsidRPr="00095674">
              <w:rPr>
                <w:rFonts w:eastAsia="Times New Roman" w:cs="Arial"/>
                <w:sz w:val="20"/>
                <w:szCs w:val="20"/>
                <w:lang w:eastAsia="pt-BR"/>
              </w:rPr>
              <w:t>0,00</w:t>
            </w:r>
          </w:p>
        </w:tc>
      </w:tr>
      <w:tr w:rsidR="00095674" w:rsidRPr="00095674" w14:paraId="10C66667" w14:textId="77777777" w:rsidTr="00AA3F98">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06D6AF0E" w14:textId="77777777" w:rsidR="00095674" w:rsidRPr="00095674" w:rsidRDefault="00095674" w:rsidP="00095674">
            <w:pPr>
              <w:spacing w:after="0"/>
              <w:ind w:firstLine="0"/>
              <w:rPr>
                <w:rFonts w:eastAsia="Times New Roman" w:cs="Arial"/>
                <w:sz w:val="20"/>
                <w:szCs w:val="20"/>
                <w:lang w:eastAsia="zh-CN"/>
              </w:rPr>
            </w:pPr>
            <w:r w:rsidRPr="00095674">
              <w:rPr>
                <w:rFonts w:eastAsia="Times New Roman" w:cs="Arial"/>
                <w:sz w:val="20"/>
                <w:szCs w:val="20"/>
                <w:lang w:eastAsia="zh-CN"/>
              </w:rPr>
              <w:t>1.2.3.8.1.06 - (-) AMORTIZAÇÃO ACUMULADA – BENS IMÓVEIS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7506610F" w14:textId="77777777" w:rsidR="00095674" w:rsidRPr="00095674" w:rsidRDefault="00095674" w:rsidP="00095674">
            <w:pPr>
              <w:spacing w:after="0"/>
              <w:ind w:firstLine="0"/>
              <w:jc w:val="right"/>
              <w:rPr>
                <w:rFonts w:eastAsia="Times New Roman" w:cs="Arial"/>
                <w:sz w:val="20"/>
                <w:szCs w:val="20"/>
                <w:lang w:eastAsia="zh-CN"/>
              </w:rPr>
            </w:pPr>
            <w:r w:rsidRPr="00095674">
              <w:rPr>
                <w:rFonts w:eastAsia="Times New Roman" w:cs="Arial"/>
                <w:sz w:val="20"/>
                <w:szCs w:val="20"/>
                <w:lang w:eastAsia="zh-CN"/>
              </w:rPr>
              <w:t>0,00</w:t>
            </w:r>
          </w:p>
        </w:tc>
      </w:tr>
      <w:tr w:rsidR="00095674" w:rsidRPr="00095674" w14:paraId="5618EA6C" w14:textId="77777777" w:rsidTr="00AA3F98">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26532AE7" w14:textId="77777777" w:rsidR="00095674" w:rsidRPr="00095674" w:rsidRDefault="00095674" w:rsidP="00095674">
            <w:pPr>
              <w:spacing w:after="0"/>
              <w:ind w:firstLine="0"/>
              <w:rPr>
                <w:rFonts w:eastAsia="Times New Roman" w:cs="Arial"/>
                <w:sz w:val="20"/>
                <w:szCs w:val="20"/>
                <w:lang w:eastAsia="zh-CN"/>
              </w:rPr>
            </w:pPr>
            <w:r w:rsidRPr="00095674">
              <w:rPr>
                <w:rFonts w:eastAsia="Times New Roman" w:cs="Arial"/>
                <w:sz w:val="20"/>
                <w:szCs w:val="20"/>
                <w:lang w:eastAsia="zh-CN"/>
              </w:rPr>
              <w:t>1.2.3.9.1.02 - (-) REDUÇÃO AO VLR RECUPERÁVEL DE IMOBILIZ. - BENS IMÓVEIS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5FA19D35" w14:textId="77777777" w:rsidR="00095674" w:rsidRPr="00095674" w:rsidRDefault="00095674" w:rsidP="00095674">
            <w:pPr>
              <w:spacing w:after="0"/>
              <w:ind w:firstLine="0"/>
              <w:jc w:val="right"/>
              <w:rPr>
                <w:rFonts w:eastAsia="Times New Roman" w:cs="Arial"/>
                <w:sz w:val="20"/>
                <w:szCs w:val="20"/>
                <w:lang w:eastAsia="zh-CN"/>
              </w:rPr>
            </w:pPr>
            <w:r w:rsidRPr="00095674">
              <w:rPr>
                <w:rFonts w:eastAsia="Times New Roman" w:cs="Arial"/>
                <w:sz w:val="20"/>
                <w:szCs w:val="20"/>
                <w:lang w:eastAsia="zh-CN"/>
              </w:rPr>
              <w:t>0,00</w:t>
            </w:r>
          </w:p>
        </w:tc>
      </w:tr>
      <w:tr w:rsidR="00095674" w:rsidRPr="00095674" w14:paraId="30F97C7F" w14:textId="77777777" w:rsidTr="00AA3F98">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14E607DB" w14:textId="77777777" w:rsidR="00095674" w:rsidRPr="00095674" w:rsidRDefault="00095674" w:rsidP="00095674">
            <w:pPr>
              <w:spacing w:after="0"/>
              <w:ind w:firstLine="0"/>
              <w:rPr>
                <w:rFonts w:eastAsia="Times New Roman" w:cs="Arial"/>
                <w:b/>
                <w:bCs/>
                <w:sz w:val="20"/>
                <w:szCs w:val="20"/>
                <w:lang w:eastAsia="zh-CN"/>
              </w:rPr>
            </w:pPr>
            <w:r w:rsidRPr="00095674">
              <w:rPr>
                <w:rFonts w:eastAsia="Times New Roman" w:cs="Arial"/>
                <w:b/>
                <w:bCs/>
                <w:sz w:val="20"/>
                <w:szCs w:val="20"/>
                <w:lang w:eastAsia="zh-CN"/>
              </w:rPr>
              <w:t>Total de Bens Imóveis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57C80F22" w14:textId="77777777" w:rsidR="00095674" w:rsidRPr="00095674" w:rsidRDefault="00095674" w:rsidP="00095674">
            <w:pPr>
              <w:spacing w:after="0"/>
              <w:ind w:firstLine="0"/>
              <w:jc w:val="right"/>
              <w:rPr>
                <w:rFonts w:eastAsia="Times New Roman" w:cs="Arial"/>
                <w:b/>
                <w:bCs/>
                <w:sz w:val="20"/>
                <w:szCs w:val="20"/>
                <w:lang w:eastAsia="zh-CN"/>
              </w:rPr>
            </w:pPr>
            <w:r w:rsidRPr="00095674">
              <w:rPr>
                <w:rFonts w:eastAsia="Times New Roman" w:cs="Arial"/>
                <w:b/>
                <w:bCs/>
                <w:sz w:val="20"/>
                <w:szCs w:val="20"/>
                <w:lang w:eastAsia="zh-CN"/>
              </w:rPr>
              <w:t>9.334.709,49</w:t>
            </w:r>
          </w:p>
        </w:tc>
      </w:tr>
    </w:tbl>
    <w:p w14:paraId="3B102A11" w14:textId="77777777" w:rsidR="00095674" w:rsidRDefault="00095674" w:rsidP="0097534B">
      <w:pPr>
        <w:spacing w:after="0"/>
        <w:rPr>
          <w:rFonts w:eastAsia="Times New Roman"/>
          <w:b/>
          <w:bCs/>
          <w:sz w:val="22"/>
          <w:szCs w:val="22"/>
          <w:lang w:eastAsia="pt-BR"/>
        </w:rPr>
      </w:pPr>
    </w:p>
    <w:p w14:paraId="22A4B2F0" w14:textId="0717E746" w:rsidR="00DF4CA2" w:rsidRPr="00F14448" w:rsidRDefault="00DF4CA2" w:rsidP="0097534B">
      <w:pPr>
        <w:spacing w:after="0"/>
        <w:rPr>
          <w:rFonts w:eastAsia="Times New Roman" w:cs="Arial"/>
          <w:b/>
          <w:bCs/>
          <w:sz w:val="22"/>
          <w:szCs w:val="22"/>
          <w:lang w:eastAsia="pt-BR"/>
        </w:rPr>
      </w:pPr>
      <w:r w:rsidRPr="00F14448">
        <w:rPr>
          <w:rFonts w:eastAsia="Times New Roman"/>
          <w:b/>
          <w:bCs/>
          <w:sz w:val="22"/>
          <w:szCs w:val="22"/>
          <w:lang w:eastAsia="pt-BR"/>
        </w:rPr>
        <w:lastRenderedPageBreak/>
        <w:t xml:space="preserve">Nota 11 - </w:t>
      </w:r>
      <w:r w:rsidRPr="00F14448">
        <w:rPr>
          <w:rFonts w:eastAsia="Times New Roman" w:cs="Arial"/>
          <w:b/>
          <w:bCs/>
          <w:sz w:val="22"/>
          <w:szCs w:val="22"/>
          <w:lang w:eastAsia="pt-BR"/>
        </w:rPr>
        <w:t>Obrigações Trab., Prev. e Assistenciais a Pagar a Curto Prazo e a Longo Prazo:</w:t>
      </w:r>
      <w:r w:rsidR="0097534B" w:rsidRPr="00F14448">
        <w:rPr>
          <w:rFonts w:eastAsia="Times New Roman" w:cs="Arial"/>
          <w:b/>
          <w:bCs/>
          <w:sz w:val="22"/>
          <w:szCs w:val="22"/>
          <w:lang w:eastAsia="pt-BR"/>
        </w:rPr>
        <w:t xml:space="preserve"> </w:t>
      </w:r>
      <w:r w:rsidRPr="00F14448">
        <w:rPr>
          <w:rFonts w:eastAsia="Times New Roman" w:cs="Arial"/>
          <w:sz w:val="22"/>
          <w:szCs w:val="22"/>
          <w:lang w:eastAsia="pt-BR"/>
        </w:rPr>
        <w:t>c</w:t>
      </w:r>
      <w:r w:rsidRPr="00F14448">
        <w:rPr>
          <w:rFonts w:eastAsia="Times New Roman"/>
          <w:sz w:val="22"/>
          <w:szCs w:val="22"/>
          <w:lang w:eastAsia="pt-BR"/>
        </w:rPr>
        <w:t xml:space="preserve">ompreende o saldo das obrigações reconhecidas pelo regime de competência referentes a salários ou remunerações, bem como benefícios aos quais o empregado ou servidor tenha direito, aposentadorias, reformas, pensões e encargos a pagar, benefícios assistenciais, inclusive os precatórios decorrentes dessas obrigações.  No curto prazo foram classificados os valores exigíveis em até 12 meses da data das demonstrações contábeis.  Não possuindo obrigações no longo prazo.  </w:t>
      </w:r>
    </w:p>
    <w:p w14:paraId="00E0D2D0" w14:textId="77777777" w:rsidR="008C1C6F" w:rsidRPr="00574507" w:rsidRDefault="008C1C6F" w:rsidP="008C1C6F">
      <w:pPr>
        <w:spacing w:after="0"/>
        <w:rPr>
          <w:rFonts w:eastAsia="Times New Roman"/>
          <w:color w:val="FF0000"/>
          <w:sz w:val="22"/>
          <w:szCs w:val="22"/>
          <w:lang w:eastAsia="pt-BR"/>
        </w:rPr>
      </w:pPr>
    </w:p>
    <w:p w14:paraId="4FDD9781" w14:textId="62DA3D9A" w:rsidR="00DF4CA2" w:rsidRDefault="00DF4CA2" w:rsidP="00DF4CA2">
      <w:pPr>
        <w:spacing w:after="0"/>
        <w:rPr>
          <w:rFonts w:eastAsia="Times New Roman"/>
          <w:sz w:val="22"/>
          <w:szCs w:val="22"/>
          <w:lang w:eastAsia="pt-BR"/>
        </w:rPr>
      </w:pPr>
      <w:r w:rsidRPr="00F14448">
        <w:rPr>
          <w:rFonts w:eastAsia="Times New Roman" w:cs="Arial"/>
          <w:b/>
          <w:bCs/>
          <w:sz w:val="22"/>
          <w:szCs w:val="22"/>
          <w:lang w:eastAsia="pt-BR"/>
        </w:rPr>
        <w:t xml:space="preserve"> </w:t>
      </w:r>
      <w:r w:rsidR="00095674" w:rsidRPr="0091573B">
        <w:rPr>
          <w:rFonts w:eastAsia="Times New Roman" w:cs="Arial"/>
          <w:b/>
          <w:bCs/>
          <w:sz w:val="22"/>
          <w:szCs w:val="22"/>
          <w:lang w:eastAsia="pt-BR"/>
        </w:rPr>
        <w:t xml:space="preserve">Nota 12 - Empréstimos e Financiamentos a Curto Prazo e Longo Prazo:  </w:t>
      </w:r>
      <w:r w:rsidR="00095674" w:rsidRPr="0091573B">
        <w:rPr>
          <w:rFonts w:eastAsia="Times New Roman" w:cs="Arial"/>
          <w:sz w:val="22"/>
          <w:szCs w:val="22"/>
          <w:lang w:eastAsia="pt-BR"/>
        </w:rPr>
        <w:t xml:space="preserve">os saldos são apresentados pelos valores líquidos das obrigações, devidamente </w:t>
      </w:r>
      <w:r w:rsidR="00095674" w:rsidRPr="0091573B">
        <w:rPr>
          <w:rFonts w:eastAsia="Times New Roman"/>
          <w:sz w:val="22"/>
          <w:szCs w:val="22"/>
          <w:lang w:eastAsia="pt-BR"/>
        </w:rPr>
        <w:t>ajustado em 31/12/2025, e compreendem as obrigações financeiras internas do Município a título de empréstimos, bem como as aquisições efetuadas diretamente com o fornecedor, com vencimento no curto prazo (12 meses) e longo prazo. Somando-se os valores registrados e curto e a longo prazo, verifica-se que os Empréstimos e Financiamentos totalizaram, no final do exercício, um montante de R$ 12.011.353,69 em relação ao ano anterior os saldos eram de R$ 12.978.897,97, representando um decréscimo de 7,45%.</w:t>
      </w:r>
    </w:p>
    <w:p w14:paraId="4DF52B1E" w14:textId="77777777" w:rsidR="00095674" w:rsidRPr="00574507" w:rsidRDefault="00095674" w:rsidP="00DF4CA2">
      <w:pPr>
        <w:spacing w:after="0"/>
        <w:rPr>
          <w:rFonts w:eastAsia="Times New Roman"/>
          <w:color w:val="FF0000"/>
          <w:sz w:val="22"/>
          <w:szCs w:val="22"/>
          <w:lang w:eastAsia="pt-BR"/>
        </w:rPr>
      </w:pPr>
    </w:p>
    <w:p w14:paraId="030A0E21" w14:textId="33A934BD" w:rsidR="00DF4CA2" w:rsidRPr="001E3BAE" w:rsidRDefault="00DF4CA2" w:rsidP="00DF4CA2">
      <w:pPr>
        <w:spacing w:after="0"/>
        <w:rPr>
          <w:rFonts w:eastAsia="Times New Roman"/>
          <w:sz w:val="22"/>
          <w:szCs w:val="22"/>
          <w:lang w:eastAsia="pt-BR"/>
        </w:rPr>
      </w:pPr>
      <w:r w:rsidRPr="001E3BAE">
        <w:rPr>
          <w:rFonts w:eastAsia="Times New Roman"/>
          <w:b/>
          <w:bCs/>
          <w:sz w:val="22"/>
          <w:szCs w:val="22"/>
          <w:lang w:eastAsia="pt-BR"/>
        </w:rPr>
        <w:t xml:space="preserve">Nota 13 – Fornecedores e Contas a Pagar a Curto e a Longo Prazo:  </w:t>
      </w:r>
      <w:r w:rsidRPr="001E3BAE">
        <w:rPr>
          <w:rFonts w:eastAsia="Times New Roman"/>
          <w:sz w:val="22"/>
          <w:szCs w:val="22"/>
          <w:lang w:eastAsia="pt-BR"/>
        </w:rPr>
        <w:t xml:space="preserve">os valores registrados nesses títulos são decorrentes de obrigações junto a fornecedores de matérias-primas, mercadorias e outros materiais utilizados nas atividades operacionais dos órgãos e entidades da administração direta e indireta. Compreendem também obrigações decorrentes do fornecimento de utilidades e da prestação de serviços, tais como de energia elétrica, água, telefone, propaganda, aluguéis e todas as outras contas a pagar, inclusive, os precatórios decorrentes dessas obrigações, e os valores inscritos em restos a pagar processados.  Os saldos apresentados compreendem os valores empenhados e liquidados e também aqueles que, embora não empenhados, foram reconhecidos pelo regime de competência. Em síntese, verifica-se que os valores registrados a curto prazo totalizaram R$ </w:t>
      </w:r>
      <w:r w:rsidR="001E3BAE" w:rsidRPr="001E3BAE">
        <w:rPr>
          <w:rFonts w:eastAsia="Times New Roman"/>
          <w:sz w:val="22"/>
          <w:szCs w:val="22"/>
          <w:lang w:eastAsia="pt-BR"/>
        </w:rPr>
        <w:t>2.344.693,49</w:t>
      </w:r>
      <w:r w:rsidRPr="001E3BAE">
        <w:rPr>
          <w:rFonts w:eastAsia="Times New Roman"/>
          <w:sz w:val="22"/>
          <w:szCs w:val="22"/>
          <w:lang w:eastAsia="pt-BR"/>
        </w:rPr>
        <w:t xml:space="preserve">, representando um </w:t>
      </w:r>
      <w:r w:rsidR="001E3BAE" w:rsidRPr="001E3BAE">
        <w:rPr>
          <w:rFonts w:eastAsia="Times New Roman"/>
          <w:sz w:val="22"/>
          <w:szCs w:val="22"/>
          <w:lang w:eastAsia="pt-BR"/>
        </w:rPr>
        <w:t>a</w:t>
      </w:r>
      <w:r w:rsidRPr="001E3BAE">
        <w:rPr>
          <w:rFonts w:eastAsia="Times New Roman"/>
          <w:sz w:val="22"/>
          <w:szCs w:val="22"/>
          <w:lang w:eastAsia="pt-BR"/>
        </w:rPr>
        <w:t xml:space="preserve">créscimo de </w:t>
      </w:r>
      <w:r w:rsidR="001E3BAE" w:rsidRPr="001E3BAE">
        <w:rPr>
          <w:rFonts w:eastAsia="Times New Roman"/>
          <w:sz w:val="22"/>
          <w:szCs w:val="22"/>
          <w:lang w:eastAsia="pt-BR"/>
        </w:rPr>
        <w:t>28,26</w:t>
      </w:r>
      <w:r w:rsidRPr="001E3BAE">
        <w:rPr>
          <w:rFonts w:eastAsia="Times New Roman"/>
          <w:sz w:val="22"/>
          <w:szCs w:val="22"/>
          <w:lang w:eastAsia="pt-BR"/>
        </w:rPr>
        <w:t>% em relação ao ano anterior.  Já o longo prazo não representou valores no exercício nem em exercício anterior.</w:t>
      </w:r>
    </w:p>
    <w:p w14:paraId="33CCA86F" w14:textId="77777777" w:rsidR="00DF4CA2" w:rsidRPr="001E3BAE" w:rsidRDefault="00DF4CA2" w:rsidP="00DF4CA2">
      <w:pPr>
        <w:spacing w:after="0"/>
        <w:rPr>
          <w:rFonts w:eastAsia="Times New Roman"/>
          <w:sz w:val="22"/>
          <w:szCs w:val="22"/>
          <w:lang w:eastAsia="pt-BR"/>
        </w:rPr>
      </w:pPr>
    </w:p>
    <w:p w14:paraId="4D6676C1" w14:textId="50C0A871" w:rsidR="00DF4CA2" w:rsidRPr="00F14448" w:rsidRDefault="00DF4CA2" w:rsidP="00DF4CA2">
      <w:pPr>
        <w:spacing w:after="0"/>
        <w:rPr>
          <w:rFonts w:eastAsia="Times New Roman"/>
          <w:sz w:val="22"/>
          <w:szCs w:val="22"/>
          <w:lang w:eastAsia="pt-BR"/>
        </w:rPr>
      </w:pPr>
      <w:r w:rsidRPr="00F14448">
        <w:rPr>
          <w:rFonts w:eastAsia="Times New Roman"/>
          <w:b/>
          <w:bCs/>
          <w:sz w:val="22"/>
          <w:szCs w:val="22"/>
          <w:lang w:eastAsia="pt-BR"/>
        </w:rPr>
        <w:t>Nota 14 – Obrigações Fiscais a Curto e a Longo Prazo</w:t>
      </w:r>
      <w:r w:rsidRPr="00F14448">
        <w:rPr>
          <w:rFonts w:eastAsia="Times New Roman"/>
          <w:sz w:val="22"/>
          <w:szCs w:val="22"/>
          <w:lang w:eastAsia="pt-BR"/>
        </w:rPr>
        <w:t xml:space="preserve">: compreende o saldo das obrigações dos órgãos e entidades da Administração Municipal, relativas a impostos, taxas e contribuições devidas à União, ao Estado e a Municípios, no qual o Município </w:t>
      </w:r>
      <w:r w:rsidR="008C1C6F" w:rsidRPr="00F14448">
        <w:rPr>
          <w:rFonts w:eastAsia="Times New Roman"/>
          <w:sz w:val="22"/>
          <w:szCs w:val="22"/>
          <w:lang w:eastAsia="pt-BR"/>
        </w:rPr>
        <w:t xml:space="preserve">não </w:t>
      </w:r>
      <w:r w:rsidRPr="00F14448">
        <w:rPr>
          <w:rFonts w:eastAsia="Times New Roman"/>
          <w:sz w:val="22"/>
          <w:szCs w:val="22"/>
          <w:lang w:eastAsia="pt-BR"/>
        </w:rPr>
        <w:t xml:space="preserve">apresentou </w:t>
      </w:r>
      <w:r w:rsidR="008C1C6F" w:rsidRPr="00F14448">
        <w:rPr>
          <w:rFonts w:eastAsia="Times New Roman"/>
          <w:sz w:val="22"/>
          <w:szCs w:val="22"/>
          <w:lang w:eastAsia="pt-BR"/>
        </w:rPr>
        <w:t>valores no exercício de 202</w:t>
      </w:r>
      <w:r w:rsidR="00095674">
        <w:rPr>
          <w:rFonts w:eastAsia="Times New Roman"/>
          <w:sz w:val="22"/>
          <w:szCs w:val="22"/>
          <w:lang w:eastAsia="pt-BR"/>
        </w:rPr>
        <w:t>5</w:t>
      </w:r>
      <w:r w:rsidR="008C1C6F" w:rsidRPr="00F14448">
        <w:rPr>
          <w:rFonts w:eastAsia="Times New Roman"/>
          <w:sz w:val="22"/>
          <w:szCs w:val="22"/>
          <w:lang w:eastAsia="pt-BR"/>
        </w:rPr>
        <w:t>.</w:t>
      </w:r>
      <w:r w:rsidRPr="00F14448">
        <w:rPr>
          <w:rFonts w:eastAsia="Times New Roman"/>
          <w:sz w:val="22"/>
          <w:szCs w:val="22"/>
          <w:lang w:eastAsia="pt-BR"/>
        </w:rPr>
        <w:t xml:space="preserve"> </w:t>
      </w:r>
    </w:p>
    <w:p w14:paraId="67970001" w14:textId="77777777" w:rsidR="00DF4CA2" w:rsidRPr="00F14448" w:rsidRDefault="00DF4CA2" w:rsidP="00DF4CA2">
      <w:pPr>
        <w:autoSpaceDE w:val="0"/>
        <w:autoSpaceDN w:val="0"/>
        <w:adjustRightInd w:val="0"/>
        <w:spacing w:after="0"/>
        <w:rPr>
          <w:rFonts w:eastAsia="Times New Roman" w:cs="Arial"/>
          <w:b/>
          <w:bCs/>
          <w:sz w:val="22"/>
          <w:szCs w:val="22"/>
          <w:lang w:eastAsia="pt-BR"/>
        </w:rPr>
      </w:pPr>
    </w:p>
    <w:p w14:paraId="2071C1B9" w14:textId="747FDA90" w:rsidR="00DF4CA2" w:rsidRPr="004278F0" w:rsidRDefault="00DF4CA2" w:rsidP="00DF4CA2">
      <w:pPr>
        <w:autoSpaceDE w:val="0"/>
        <w:autoSpaceDN w:val="0"/>
        <w:adjustRightInd w:val="0"/>
        <w:spacing w:after="0"/>
        <w:rPr>
          <w:rFonts w:eastAsia="Times New Roman" w:cs="Arial"/>
          <w:sz w:val="22"/>
          <w:szCs w:val="22"/>
          <w:lang w:eastAsia="pt-BR"/>
        </w:rPr>
      </w:pPr>
      <w:r w:rsidRPr="004278F0">
        <w:rPr>
          <w:rFonts w:eastAsia="Times New Roman" w:cs="Arial"/>
          <w:b/>
          <w:bCs/>
          <w:sz w:val="22"/>
          <w:szCs w:val="22"/>
          <w:lang w:eastAsia="pt-BR"/>
        </w:rPr>
        <w:t>Nota 15 – Provisões a Curto e a Longo Prazo</w:t>
      </w:r>
      <w:r w:rsidRPr="004278F0">
        <w:rPr>
          <w:rFonts w:eastAsia="Times New Roman" w:cs="Arial"/>
          <w:sz w:val="22"/>
          <w:szCs w:val="22"/>
          <w:lang w:eastAsia="pt-BR"/>
        </w:rPr>
        <w:t>: segundo o MCASP, as provisões</w:t>
      </w:r>
      <w:r w:rsidRPr="004278F0">
        <w:rPr>
          <w:rFonts w:eastAsia="Times New Roman" w:cs="Arial"/>
          <w:sz w:val="22"/>
          <w:szCs w:val="22"/>
          <w:lang w:eastAsia="zh-CN"/>
        </w:rPr>
        <w:t xml:space="preserve"> são obrigações presentes, derivadas de eventos passados, cujos pagamentos se esperam que resultem saídas de recursos capazes de gerar benefícios econômicos ou potencial de serviços, e que possuem prazo ou valor incerto. </w:t>
      </w:r>
    </w:p>
    <w:p w14:paraId="472188A2" w14:textId="77777777" w:rsidR="00DF4CA2" w:rsidRPr="004278F0" w:rsidRDefault="00DF4CA2" w:rsidP="00DF4CA2">
      <w:pPr>
        <w:autoSpaceDE w:val="0"/>
        <w:autoSpaceDN w:val="0"/>
        <w:adjustRightInd w:val="0"/>
        <w:spacing w:after="0"/>
        <w:rPr>
          <w:rFonts w:eastAsia="Times New Roman" w:cs="Arial"/>
          <w:sz w:val="22"/>
          <w:szCs w:val="22"/>
          <w:lang w:eastAsia="pt-BR"/>
        </w:rPr>
      </w:pPr>
    </w:p>
    <w:p w14:paraId="38A75169" w14:textId="77777777" w:rsidR="004278F0" w:rsidRPr="0091573B" w:rsidRDefault="004278F0" w:rsidP="004278F0">
      <w:pPr>
        <w:spacing w:after="0"/>
        <w:rPr>
          <w:rFonts w:eastAsia="Times New Roman"/>
          <w:sz w:val="22"/>
          <w:szCs w:val="22"/>
          <w:lang w:eastAsia="pt-BR"/>
        </w:rPr>
      </w:pPr>
      <w:r w:rsidRPr="004278F0">
        <w:rPr>
          <w:rFonts w:eastAsia="Times New Roman" w:cs="Arial"/>
          <w:b/>
          <w:bCs/>
          <w:sz w:val="22"/>
          <w:szCs w:val="22"/>
          <w:lang w:eastAsia="pt-BR"/>
        </w:rPr>
        <w:t xml:space="preserve">Nota 16 - Demais Obrigações </w:t>
      </w:r>
      <w:r w:rsidRPr="0091573B">
        <w:rPr>
          <w:rFonts w:eastAsia="Times New Roman" w:cs="Arial"/>
          <w:b/>
          <w:bCs/>
          <w:sz w:val="22"/>
          <w:szCs w:val="22"/>
          <w:lang w:eastAsia="pt-BR"/>
        </w:rPr>
        <w:t xml:space="preserve">a Curto Prazo e a Longo Prazo: </w:t>
      </w:r>
      <w:r w:rsidRPr="0091573B">
        <w:rPr>
          <w:rFonts w:eastAsia="Times New Roman"/>
          <w:sz w:val="22"/>
          <w:szCs w:val="22"/>
          <w:lang w:eastAsia="pt-BR"/>
        </w:rPr>
        <w:t>o grupo Demais Obrigações a Curto Prazo sofreu um acréscimo de 86,68% em relação ao exercício anterior e representou, no final do exercício de 2025, 9,51% do passivo circulante, e seus valores representam principalmente valores restituíveis.  No longo prazo, houve uma diminuição de 19,84% em relação ao exercício anterior.</w:t>
      </w:r>
    </w:p>
    <w:p w14:paraId="5E1E6199" w14:textId="77777777" w:rsidR="00DF4CA2" w:rsidRPr="00095674" w:rsidRDefault="00DF4CA2" w:rsidP="00DF4CA2">
      <w:pPr>
        <w:spacing w:after="0"/>
        <w:rPr>
          <w:rFonts w:eastAsia="Times New Roman" w:cs="Arial"/>
          <w:b/>
          <w:bCs/>
          <w:color w:val="EE0000"/>
          <w:sz w:val="22"/>
          <w:szCs w:val="22"/>
          <w:lang w:eastAsia="pt-BR"/>
        </w:rPr>
      </w:pPr>
    </w:p>
    <w:p w14:paraId="1242F59E" w14:textId="564D2896" w:rsidR="004278F0" w:rsidRPr="0091573B" w:rsidRDefault="004278F0" w:rsidP="004278F0">
      <w:pPr>
        <w:spacing w:after="0"/>
        <w:rPr>
          <w:rFonts w:eastAsia="Times New Roman"/>
          <w:sz w:val="22"/>
          <w:szCs w:val="22"/>
          <w:lang w:eastAsia="pt-BR"/>
        </w:rPr>
      </w:pPr>
      <w:r w:rsidRPr="0091573B">
        <w:rPr>
          <w:rFonts w:eastAsia="Times New Roman" w:cs="Arial"/>
          <w:b/>
          <w:bCs/>
          <w:sz w:val="22"/>
          <w:szCs w:val="22"/>
          <w:lang w:eastAsia="pt-BR"/>
        </w:rPr>
        <w:t xml:space="preserve">Nota 17 – Dívida Flutuante: </w:t>
      </w:r>
      <w:r w:rsidRPr="0091573B">
        <w:rPr>
          <w:rFonts w:eastAsia="Times New Roman" w:cs="Arial"/>
          <w:sz w:val="22"/>
          <w:szCs w:val="22"/>
          <w:lang w:eastAsia="pt-BR"/>
        </w:rPr>
        <w:t>conforme o art. 92 da Lei Federal nº 4.320/64, o</w:t>
      </w:r>
      <w:r w:rsidRPr="0091573B">
        <w:rPr>
          <w:rFonts w:eastAsia="Times New Roman"/>
          <w:sz w:val="22"/>
          <w:szCs w:val="22"/>
          <w:lang w:eastAsia="pt-BR"/>
        </w:rPr>
        <w:t xml:space="preserve">s componentes da dívida flutuante são aqueles compromissos contraídos por período limitado de tempo (curto prazo), quer na sua condição de valores de terceiros, quer para atender às necessidades de caixa momentâneas, realizadas independentemente de autorização orçamentária, bem como os valores dos restos a pagar. Especificamente em relação aos Restos a Pagar, que compreendem as despesas orçamentárias, empenhadas e não pagas até 31 de Dezembro, distinguindo-se os processados dos não processados, nos termos da Lei Complementar nº 101/2000 e da Instrução Normativa nº 12/2025, do Tribunal de Contas do Estado do Rio Grande do Sul, tem-se, como regra, a necessidade de recursos </w:t>
      </w:r>
      <w:r w:rsidRPr="0091573B">
        <w:rPr>
          <w:rFonts w:eastAsia="Times New Roman"/>
          <w:sz w:val="22"/>
          <w:szCs w:val="22"/>
          <w:lang w:eastAsia="pt-BR"/>
        </w:rPr>
        <w:lastRenderedPageBreak/>
        <w:t xml:space="preserve">financeiros para honrar estes compromissos, observando que os recursos legalmente vinculados à finalidade específica serão destinados somente para seu objeto de vinculação. </w:t>
      </w:r>
    </w:p>
    <w:p w14:paraId="56A79573" w14:textId="77777777" w:rsidR="00DF4CA2" w:rsidRPr="00095674" w:rsidRDefault="00DF4CA2" w:rsidP="00DF4CA2">
      <w:pPr>
        <w:spacing w:after="0"/>
        <w:rPr>
          <w:rFonts w:eastAsia="Times New Roman" w:cs="Arial"/>
          <w:color w:val="EE0000"/>
          <w:sz w:val="22"/>
          <w:szCs w:val="22"/>
          <w:lang w:eastAsia="pt-BR"/>
        </w:rPr>
      </w:pPr>
    </w:p>
    <w:p w14:paraId="3DA173DF" w14:textId="74572E59" w:rsidR="004278F0" w:rsidRPr="00284B8A" w:rsidRDefault="004278F0" w:rsidP="004278F0">
      <w:pPr>
        <w:spacing w:after="0"/>
        <w:rPr>
          <w:rFonts w:eastAsia="Times New Roman"/>
          <w:sz w:val="22"/>
          <w:szCs w:val="22"/>
          <w:lang w:eastAsia="pt-BR"/>
        </w:rPr>
      </w:pPr>
      <w:r w:rsidRPr="00284B8A">
        <w:rPr>
          <w:rFonts w:eastAsia="Times New Roman" w:cs="Arial"/>
          <w:b/>
          <w:bCs/>
          <w:sz w:val="22"/>
          <w:szCs w:val="22"/>
          <w:lang w:eastAsia="pt-BR"/>
        </w:rPr>
        <w:t xml:space="preserve">Nota 18 – Patrimônio Líquido: </w:t>
      </w:r>
      <w:r w:rsidRPr="00284B8A">
        <w:rPr>
          <w:rFonts w:eastAsia="Times New Roman"/>
          <w:sz w:val="22"/>
          <w:szCs w:val="22"/>
          <w:lang w:eastAsia="pt-BR"/>
        </w:rPr>
        <w:t xml:space="preserve">compreende o valor residual dos ativos depois de deduzidos todos os passivos. Esse grupo é composto pelos saldos de Patrimônio Social e Capital Social e Resultados Acumulados. Em 31/12/2025 o patrimônio líquido apresentou saldo negativo de R$ </w:t>
      </w:r>
      <w:r>
        <w:rPr>
          <w:rFonts w:eastAsia="Times New Roman"/>
          <w:sz w:val="22"/>
          <w:szCs w:val="22"/>
          <w:lang w:eastAsia="pt-BR"/>
        </w:rPr>
        <w:t>32.927.327,44</w:t>
      </w:r>
      <w:r w:rsidRPr="00284B8A">
        <w:rPr>
          <w:rFonts w:eastAsia="Times New Roman"/>
          <w:sz w:val="22"/>
          <w:szCs w:val="22"/>
          <w:lang w:eastAsia="pt-BR"/>
        </w:rPr>
        <w:t xml:space="preserve">, comparado com o saldo negativo de R$ </w:t>
      </w:r>
      <w:r>
        <w:rPr>
          <w:rFonts w:eastAsia="Times New Roman"/>
          <w:sz w:val="22"/>
          <w:szCs w:val="22"/>
          <w:lang w:eastAsia="pt-BR"/>
        </w:rPr>
        <w:t>36.732.613,61</w:t>
      </w:r>
      <w:r w:rsidRPr="00284B8A">
        <w:rPr>
          <w:rFonts w:eastAsia="Times New Roman"/>
          <w:sz w:val="22"/>
          <w:szCs w:val="22"/>
          <w:lang w:eastAsia="pt-BR"/>
        </w:rPr>
        <w:t xml:space="preserve"> no exercício anterior. No exercício de 2025, o saldo apresentou redução do déficit acumulado, passando de R$ </w:t>
      </w:r>
      <w:r>
        <w:rPr>
          <w:rFonts w:eastAsia="Times New Roman"/>
          <w:sz w:val="22"/>
          <w:szCs w:val="22"/>
          <w:lang w:eastAsia="pt-BR"/>
        </w:rPr>
        <w:t>44.376.347,99</w:t>
      </w:r>
      <w:r w:rsidRPr="00284B8A">
        <w:rPr>
          <w:rFonts w:eastAsia="Times New Roman"/>
          <w:sz w:val="22"/>
          <w:szCs w:val="22"/>
          <w:lang w:eastAsia="pt-BR"/>
        </w:rPr>
        <w:t xml:space="preserve"> negativos para </w:t>
      </w:r>
      <w:r>
        <w:rPr>
          <w:rFonts w:eastAsia="Times New Roman"/>
          <w:sz w:val="22"/>
          <w:szCs w:val="22"/>
          <w:lang w:eastAsia="pt-BR"/>
        </w:rPr>
        <w:t>40.574.436,82</w:t>
      </w:r>
      <w:r w:rsidRPr="00284B8A">
        <w:rPr>
          <w:rFonts w:eastAsia="Times New Roman"/>
          <w:sz w:val="22"/>
          <w:szCs w:val="22"/>
          <w:lang w:eastAsia="pt-BR"/>
        </w:rPr>
        <w:t xml:space="preserve"> negativos, indicando redução do déficit acumulado em R$ </w:t>
      </w:r>
      <w:r>
        <w:rPr>
          <w:rFonts w:eastAsia="Times New Roman"/>
          <w:sz w:val="22"/>
          <w:szCs w:val="22"/>
          <w:lang w:eastAsia="pt-BR"/>
        </w:rPr>
        <w:t>3.801.911,17</w:t>
      </w:r>
      <w:r w:rsidRPr="00284B8A">
        <w:rPr>
          <w:rFonts w:eastAsia="Times New Roman"/>
          <w:sz w:val="22"/>
          <w:szCs w:val="22"/>
          <w:lang w:eastAsia="pt-BR"/>
        </w:rPr>
        <w:t xml:space="preserve"> no período. O patrimônio líquido negativo decorre principalmente do reconhecimento de provisões e obrigações de longo prazo, destacando-se as provisões a longo prazo em R$ 121.370.815,87, na qual a administração acompanha a evolução dessas obrigações e adota medidas para o equilíbrio financeiro e patrimonial.</w:t>
      </w:r>
    </w:p>
    <w:p w14:paraId="75E70E8C" w14:textId="77777777" w:rsidR="004278F0" w:rsidRPr="002733D2" w:rsidRDefault="004278F0" w:rsidP="004278F0">
      <w:pPr>
        <w:spacing w:after="0"/>
        <w:rPr>
          <w:rFonts w:eastAsia="Times New Roman"/>
          <w:color w:val="EE0000"/>
          <w:sz w:val="22"/>
          <w:szCs w:val="22"/>
          <w:lang w:eastAsia="pt-BR"/>
        </w:rPr>
      </w:pPr>
    </w:p>
    <w:p w14:paraId="1419273F" w14:textId="77777777" w:rsidR="00030B0E" w:rsidRPr="00095674" w:rsidRDefault="00030B0E" w:rsidP="004C3363">
      <w:pPr>
        <w:spacing w:after="0"/>
        <w:rPr>
          <w:rFonts w:eastAsia="Times New Roman"/>
          <w:color w:val="EE0000"/>
          <w:sz w:val="22"/>
          <w:szCs w:val="22"/>
          <w:lang w:eastAsia="pt-BR"/>
        </w:rPr>
      </w:pPr>
    </w:p>
    <w:p w14:paraId="2CB82397" w14:textId="77777777" w:rsidR="00030B0E" w:rsidRPr="00095674" w:rsidRDefault="00030B0E" w:rsidP="004C3363">
      <w:pPr>
        <w:spacing w:after="0"/>
        <w:rPr>
          <w:rFonts w:eastAsia="Times New Roman"/>
          <w:color w:val="EE0000"/>
          <w:sz w:val="22"/>
          <w:szCs w:val="22"/>
          <w:lang w:eastAsia="pt-BR"/>
        </w:rPr>
      </w:pPr>
    </w:p>
    <w:p w14:paraId="5971E9DA" w14:textId="77777777" w:rsidR="00030B0E" w:rsidRPr="00095674" w:rsidRDefault="00030B0E" w:rsidP="004C3363">
      <w:pPr>
        <w:spacing w:after="0"/>
        <w:rPr>
          <w:rFonts w:eastAsia="Times New Roman"/>
          <w:color w:val="EE0000"/>
          <w:sz w:val="22"/>
          <w:szCs w:val="22"/>
          <w:lang w:eastAsia="pt-BR"/>
        </w:rPr>
      </w:pPr>
    </w:p>
    <w:p w14:paraId="6B033C50" w14:textId="77777777" w:rsidR="00030B0E" w:rsidRPr="00095674" w:rsidRDefault="00030B0E" w:rsidP="004C3363">
      <w:pPr>
        <w:spacing w:after="0"/>
        <w:rPr>
          <w:rFonts w:eastAsia="Times New Roman"/>
          <w:color w:val="EE0000"/>
          <w:sz w:val="22"/>
          <w:szCs w:val="22"/>
          <w:lang w:eastAsia="pt-BR"/>
        </w:rPr>
      </w:pPr>
    </w:p>
    <w:p w14:paraId="533EF905" w14:textId="77777777" w:rsidR="00030B0E" w:rsidRPr="00095674" w:rsidRDefault="00030B0E" w:rsidP="004C3363">
      <w:pPr>
        <w:spacing w:after="0"/>
        <w:rPr>
          <w:rFonts w:eastAsia="Times New Roman"/>
          <w:color w:val="EE0000"/>
          <w:sz w:val="22"/>
          <w:szCs w:val="22"/>
          <w:lang w:eastAsia="pt-BR"/>
        </w:rPr>
      </w:pPr>
    </w:p>
    <w:p w14:paraId="14669C77" w14:textId="77777777" w:rsidR="00030B0E" w:rsidRPr="00095674" w:rsidRDefault="00030B0E" w:rsidP="004C3363">
      <w:pPr>
        <w:spacing w:after="0"/>
        <w:rPr>
          <w:rFonts w:eastAsia="Times New Roman"/>
          <w:color w:val="EE0000"/>
          <w:sz w:val="22"/>
          <w:szCs w:val="22"/>
          <w:lang w:eastAsia="pt-BR"/>
        </w:rPr>
      </w:pPr>
    </w:p>
    <w:p w14:paraId="29A9F8B8" w14:textId="77777777" w:rsidR="00030B0E" w:rsidRPr="00095674" w:rsidRDefault="00030B0E" w:rsidP="004C3363">
      <w:pPr>
        <w:spacing w:after="0"/>
        <w:rPr>
          <w:rFonts w:eastAsia="Times New Roman"/>
          <w:color w:val="EE0000"/>
          <w:sz w:val="22"/>
          <w:szCs w:val="22"/>
          <w:lang w:eastAsia="pt-BR"/>
        </w:rPr>
      </w:pPr>
    </w:p>
    <w:p w14:paraId="2E793827" w14:textId="77777777" w:rsidR="00030B0E" w:rsidRPr="00095674" w:rsidRDefault="00030B0E" w:rsidP="004C3363">
      <w:pPr>
        <w:spacing w:after="0"/>
        <w:rPr>
          <w:rFonts w:eastAsia="Times New Roman"/>
          <w:color w:val="EE0000"/>
          <w:sz w:val="22"/>
          <w:szCs w:val="22"/>
          <w:lang w:eastAsia="pt-BR"/>
        </w:rPr>
      </w:pPr>
    </w:p>
    <w:p w14:paraId="6404C8B1" w14:textId="78B763B6" w:rsidR="00030B0E" w:rsidRPr="00030B0E" w:rsidRDefault="00030B0E" w:rsidP="00030B0E">
      <w:pPr>
        <w:spacing w:after="0"/>
        <w:ind w:firstLine="0"/>
        <w:rPr>
          <w:rFonts w:eastAsia="Times New Roman"/>
          <w:sz w:val="22"/>
          <w:szCs w:val="22"/>
          <w:lang w:eastAsia="pt-BR"/>
        </w:rPr>
      </w:pPr>
      <w:r>
        <w:rPr>
          <w:rFonts w:eastAsia="Times New Roman"/>
          <w:noProof/>
          <w:sz w:val="22"/>
          <w:szCs w:val="22"/>
          <w:lang w:eastAsia="pt-BR"/>
        </w:rPr>
        <w:drawing>
          <wp:inline distT="0" distB="0" distL="0" distR="0" wp14:anchorId="77768641" wp14:editId="7B28B955">
            <wp:extent cx="5760720" cy="387985"/>
            <wp:effectExtent l="0" t="0" r="0" b="0"/>
            <wp:docPr id="191914495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144958" name="Imagem 1919144958"/>
                    <pic:cNvPicPr/>
                  </pic:nvPicPr>
                  <pic:blipFill>
                    <a:blip r:embed="rId6">
                      <a:extLst>
                        <a:ext uri="{28A0092B-C50C-407E-A947-70E740481C1C}">
                          <a14:useLocalDpi xmlns:a14="http://schemas.microsoft.com/office/drawing/2010/main" val="0"/>
                        </a:ext>
                      </a:extLst>
                    </a:blip>
                    <a:stretch>
                      <a:fillRect/>
                    </a:stretch>
                  </pic:blipFill>
                  <pic:spPr>
                    <a:xfrm>
                      <a:off x="0" y="0"/>
                      <a:ext cx="5760720" cy="387985"/>
                    </a:xfrm>
                    <a:prstGeom prst="rect">
                      <a:avLst/>
                    </a:prstGeom>
                  </pic:spPr>
                </pic:pic>
              </a:graphicData>
            </a:graphic>
          </wp:inline>
        </w:drawing>
      </w:r>
    </w:p>
    <w:sectPr w:rsidR="00030B0E" w:rsidRPr="00030B0E" w:rsidSect="004A5FDE">
      <w:headerReference w:type="even" r:id="rId7"/>
      <w:headerReference w:type="default" r:id="rId8"/>
      <w:footerReference w:type="even" r:id="rId9"/>
      <w:footerReference w:type="default" r:id="rId10"/>
      <w:headerReference w:type="first" r:id="rId11"/>
      <w:footerReference w:type="first" r:id="rId12"/>
      <w:pgSz w:w="11907" w:h="16840" w:code="9"/>
      <w:pgMar w:top="2836" w:right="1134" w:bottom="709" w:left="1701" w:header="14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ECB49" w14:textId="77777777" w:rsidR="003E1CF7" w:rsidRDefault="003E1CF7">
      <w:pPr>
        <w:spacing w:after="0"/>
      </w:pPr>
      <w:r>
        <w:separator/>
      </w:r>
    </w:p>
  </w:endnote>
  <w:endnote w:type="continuationSeparator" w:id="0">
    <w:p w14:paraId="298B5E3C" w14:textId="77777777" w:rsidR="003E1CF7" w:rsidRDefault="003E1C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AEDF2" w14:textId="77777777" w:rsidR="00D4456F" w:rsidRDefault="00D4456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2F515" w14:textId="77777777" w:rsidR="00D4456F" w:rsidRDefault="00D4456F">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A126D" w14:textId="77777777" w:rsidR="00D4456F" w:rsidRDefault="00D4456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35C0" w14:textId="77777777" w:rsidR="003E1CF7" w:rsidRDefault="003E1CF7">
      <w:pPr>
        <w:spacing w:after="0"/>
      </w:pPr>
      <w:r>
        <w:separator/>
      </w:r>
    </w:p>
  </w:footnote>
  <w:footnote w:type="continuationSeparator" w:id="0">
    <w:p w14:paraId="70A746AF" w14:textId="77777777" w:rsidR="003E1CF7" w:rsidRDefault="003E1C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638E" w14:textId="77777777" w:rsidR="00D4456F" w:rsidRDefault="00D4456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8CAB" w14:textId="77777777" w:rsidR="00D4456F" w:rsidRDefault="00D4456F" w:rsidP="00D4456F">
    <w:pPr>
      <w:pStyle w:val="Cabealho"/>
      <w:spacing w:after="0"/>
      <w:ind w:firstLine="0"/>
    </w:pPr>
  </w:p>
  <w:p w14:paraId="7FD6E5C5" w14:textId="1365372E" w:rsidR="00AC4741" w:rsidRDefault="00D4456F" w:rsidP="00D4456F">
    <w:pPr>
      <w:pStyle w:val="Cabealho"/>
      <w:spacing w:after="0"/>
      <w:ind w:firstLine="0"/>
    </w:pPr>
    <w:r>
      <w:rPr>
        <w:noProof/>
      </w:rPr>
      <w:drawing>
        <wp:inline distT="0" distB="0" distL="0" distR="0" wp14:anchorId="398502DD" wp14:editId="655545D7">
          <wp:extent cx="5760720" cy="839470"/>
          <wp:effectExtent l="0" t="0" r="0" b="0"/>
          <wp:docPr id="147210955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09556" name="Imagem 1"/>
                  <pic:cNvPicPr>
                    <a:picLocks noChangeAspect="1"/>
                  </pic:cNvPicPr>
                </pic:nvPicPr>
                <pic:blipFill>
                  <a:blip r:embed="rId1"/>
                  <a:stretch>
                    <a:fillRect/>
                  </a:stretch>
                </pic:blipFill>
                <pic:spPr>
                  <a:xfrm>
                    <a:off x="0" y="0"/>
                    <a:ext cx="5760720" cy="83947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C4B8C" w14:textId="77777777" w:rsidR="00D4456F" w:rsidRDefault="00D4456F">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CA2"/>
    <w:rsid w:val="00030B0E"/>
    <w:rsid w:val="000445AA"/>
    <w:rsid w:val="00095674"/>
    <w:rsid w:val="001C1F0E"/>
    <w:rsid w:val="001E3BAE"/>
    <w:rsid w:val="001F5E79"/>
    <w:rsid w:val="002415FD"/>
    <w:rsid w:val="00257E12"/>
    <w:rsid w:val="0026782C"/>
    <w:rsid w:val="002A0EFE"/>
    <w:rsid w:val="002C49E2"/>
    <w:rsid w:val="002F1FB5"/>
    <w:rsid w:val="003871B6"/>
    <w:rsid w:val="003E02B9"/>
    <w:rsid w:val="003E1CF7"/>
    <w:rsid w:val="00420C77"/>
    <w:rsid w:val="004278F0"/>
    <w:rsid w:val="004B27EE"/>
    <w:rsid w:val="004C3363"/>
    <w:rsid w:val="004D000F"/>
    <w:rsid w:val="00551C39"/>
    <w:rsid w:val="00563E67"/>
    <w:rsid w:val="00574507"/>
    <w:rsid w:val="0059202A"/>
    <w:rsid w:val="005E03D7"/>
    <w:rsid w:val="00601B74"/>
    <w:rsid w:val="006B048A"/>
    <w:rsid w:val="006F4AB5"/>
    <w:rsid w:val="007A4C60"/>
    <w:rsid w:val="007B5666"/>
    <w:rsid w:val="00874071"/>
    <w:rsid w:val="008C1C6F"/>
    <w:rsid w:val="0090462E"/>
    <w:rsid w:val="00914634"/>
    <w:rsid w:val="009635C8"/>
    <w:rsid w:val="0097534B"/>
    <w:rsid w:val="009F2BB3"/>
    <w:rsid w:val="00A4244B"/>
    <w:rsid w:val="00A70173"/>
    <w:rsid w:val="00A72B71"/>
    <w:rsid w:val="00AA58DD"/>
    <w:rsid w:val="00AC4741"/>
    <w:rsid w:val="00AF660A"/>
    <w:rsid w:val="00B904C0"/>
    <w:rsid w:val="00BB4530"/>
    <w:rsid w:val="00C12B05"/>
    <w:rsid w:val="00CB7CEF"/>
    <w:rsid w:val="00CC32F2"/>
    <w:rsid w:val="00CD13FA"/>
    <w:rsid w:val="00D4456F"/>
    <w:rsid w:val="00DA6DD6"/>
    <w:rsid w:val="00DF4CA2"/>
    <w:rsid w:val="00DF6228"/>
    <w:rsid w:val="00E81457"/>
    <w:rsid w:val="00F14448"/>
    <w:rsid w:val="00F2253A"/>
    <w:rsid w:val="00F461E0"/>
    <w:rsid w:val="00FB5A59"/>
    <w:rsid w:val="00FD08F1"/>
    <w:rsid w:val="00FF19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E8025"/>
  <w15:chartTrackingRefBased/>
  <w15:docId w15:val="{87F13503-3F1D-42C5-A63D-1AE0DFD34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CA2"/>
    <w:pPr>
      <w:spacing w:line="240" w:lineRule="auto"/>
      <w:ind w:firstLine="567"/>
      <w:jc w:val="both"/>
    </w:pPr>
    <w:rPr>
      <w:rFonts w:ascii="Calibri" w:eastAsia="Calibri" w:hAnsi="Calibri"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bttulo">
    <w:name w:val="Subtitle"/>
    <w:basedOn w:val="Normal"/>
    <w:next w:val="Normal"/>
    <w:link w:val="SubttuloChar"/>
    <w:qFormat/>
    <w:rsid w:val="00DF4CA2"/>
    <w:pPr>
      <w:spacing w:after="60"/>
      <w:outlineLvl w:val="1"/>
    </w:pPr>
    <w:rPr>
      <w:rFonts w:eastAsia="Times New Roman"/>
      <w:b/>
    </w:rPr>
  </w:style>
  <w:style w:type="character" w:customStyle="1" w:styleId="SubttuloChar">
    <w:name w:val="Subtítulo Char"/>
    <w:basedOn w:val="Fontepargpadro"/>
    <w:link w:val="Subttulo"/>
    <w:rsid w:val="00DF4CA2"/>
    <w:rPr>
      <w:rFonts w:ascii="Calibri" w:eastAsia="Times New Roman" w:hAnsi="Calibri" w:cs="Times New Roman"/>
      <w:b/>
      <w:sz w:val="24"/>
      <w:szCs w:val="24"/>
    </w:rPr>
  </w:style>
  <w:style w:type="paragraph" w:styleId="Cabealho">
    <w:name w:val="header"/>
    <w:basedOn w:val="Normal"/>
    <w:link w:val="CabealhoChar"/>
    <w:uiPriority w:val="99"/>
    <w:unhideWhenUsed/>
    <w:rsid w:val="00DF4CA2"/>
    <w:pPr>
      <w:tabs>
        <w:tab w:val="center" w:pos="4252"/>
        <w:tab w:val="right" w:pos="8504"/>
      </w:tabs>
    </w:pPr>
  </w:style>
  <w:style w:type="character" w:customStyle="1" w:styleId="CabealhoChar">
    <w:name w:val="Cabeçalho Char"/>
    <w:basedOn w:val="Fontepargpadro"/>
    <w:link w:val="Cabealho"/>
    <w:uiPriority w:val="99"/>
    <w:rsid w:val="00DF4CA2"/>
    <w:rPr>
      <w:rFonts w:ascii="Calibri" w:eastAsia="Calibri" w:hAnsi="Calibri" w:cs="Times New Roman"/>
      <w:sz w:val="24"/>
      <w:szCs w:val="24"/>
    </w:rPr>
  </w:style>
  <w:style w:type="paragraph" w:styleId="Rodap">
    <w:name w:val="footer"/>
    <w:basedOn w:val="Normal"/>
    <w:link w:val="RodapChar"/>
    <w:uiPriority w:val="99"/>
    <w:unhideWhenUsed/>
    <w:rsid w:val="00D4456F"/>
    <w:pPr>
      <w:tabs>
        <w:tab w:val="center" w:pos="4252"/>
        <w:tab w:val="right" w:pos="8504"/>
      </w:tabs>
      <w:spacing w:after="0"/>
    </w:pPr>
  </w:style>
  <w:style w:type="character" w:customStyle="1" w:styleId="RodapChar">
    <w:name w:val="Rodapé Char"/>
    <w:basedOn w:val="Fontepargpadro"/>
    <w:link w:val="Rodap"/>
    <w:uiPriority w:val="99"/>
    <w:rsid w:val="00D4456F"/>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1713</Words>
  <Characters>9251</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Juliano Fehlberg</dc:creator>
  <cp:keywords/>
  <dc:description/>
  <cp:lastModifiedBy>Juliano Fehlberg</cp:lastModifiedBy>
  <cp:revision>6</cp:revision>
  <dcterms:created xsi:type="dcterms:W3CDTF">2025-03-31T19:45:00Z</dcterms:created>
  <dcterms:modified xsi:type="dcterms:W3CDTF">2026-03-17T20:11:00Z</dcterms:modified>
</cp:coreProperties>
</file>